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27503A" w14:paraId="34BE243B" w14:textId="77777777">
        <w:tc>
          <w:tcPr>
            <w:tcW w:w="509" w:type="dxa"/>
          </w:tcPr>
          <w:p w14:paraId="69E6D110" w14:textId="77777777" w:rsidR="0027503A" w:rsidRDefault="004218A8">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6EF4886" w14:textId="14285B28" w:rsidR="0027503A" w:rsidRDefault="004218A8">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207F1">
              <w:rPr>
                <w:rFonts w:ascii="黑体" w:eastAsia="黑体" w:hAnsi="黑体"/>
                <w:sz w:val="21"/>
                <w:szCs w:val="21"/>
              </w:rPr>
              <w:t>11.020</w:t>
            </w:r>
            <w:r>
              <w:rPr>
                <w:rFonts w:ascii="黑体" w:eastAsia="黑体" w:hAnsi="黑体"/>
                <w:sz w:val="21"/>
                <w:szCs w:val="21"/>
              </w:rPr>
              <w:t xml:space="preserve"> </w:t>
            </w:r>
            <w:r>
              <w:rPr>
                <w:rFonts w:ascii="黑体" w:eastAsia="黑体" w:hAnsi="黑体"/>
                <w:sz w:val="21"/>
                <w:szCs w:val="21"/>
              </w:rPr>
              <w:fldChar w:fldCharType="end"/>
            </w:r>
            <w:bookmarkEnd w:id="0"/>
          </w:p>
        </w:tc>
      </w:tr>
      <w:tr w:rsidR="0027503A" w14:paraId="06A7E94F" w14:textId="77777777">
        <w:tc>
          <w:tcPr>
            <w:tcW w:w="509" w:type="dxa"/>
          </w:tcPr>
          <w:p w14:paraId="7D80C651" w14:textId="77777777" w:rsidR="0027503A" w:rsidRDefault="004218A8">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50451E4A" w14:textId="7AC668FC" w:rsidR="0027503A" w:rsidRDefault="004218A8">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207F1">
              <w:rPr>
                <w:rFonts w:ascii="黑体" w:eastAsia="黑体" w:hAnsi="黑体"/>
                <w:sz w:val="21"/>
                <w:szCs w:val="21"/>
              </w:rPr>
              <w:t>C 05</w:t>
            </w:r>
            <w:r>
              <w:rPr>
                <w:rFonts w:ascii="黑体" w:eastAsia="黑体" w:hAnsi="黑体"/>
                <w:sz w:val="21"/>
                <w:szCs w:val="21"/>
              </w:rPr>
              <w:fldChar w:fldCharType="end"/>
            </w:r>
            <w:bookmarkEnd w:id="1"/>
          </w:p>
        </w:tc>
      </w:tr>
    </w:tbl>
    <w:tbl>
      <w:tblPr>
        <w:tblStyle w:val="affff4"/>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27503A" w14:paraId="1E604E04" w14:textId="77777777">
        <w:tc>
          <w:tcPr>
            <w:tcW w:w="6407" w:type="dxa"/>
          </w:tcPr>
          <w:p w14:paraId="72AE28CE" w14:textId="42BFC6F5" w:rsidR="0027503A" w:rsidRDefault="004218A8">
            <w:pPr>
              <w:pStyle w:val="affffc"/>
              <w:framePr w:w="0" w:hRule="auto" w:wrap="auto" w:hAnchor="text" w:xAlign="left" w:yAlign="inline" w:anchorLock="0"/>
              <w:rPr>
                <w:rFonts w:ascii="宋体" w:hAnsi="宋体"/>
                <w:sz w:val="28"/>
                <w:szCs w:val="28"/>
              </w:rPr>
            </w:pPr>
            <w:bookmarkStart w:id="2" w:name="_Hlk26473981"/>
            <w:r>
              <w:rPr>
                <w:noProof/>
              </w:rPr>
              <w:drawing>
                <wp:inline distT="0" distB="0" distL="0" distR="0" wp14:anchorId="7B9D40FE" wp14:editId="5AD350D9">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E6531C">
              <w:t>32</w:t>
            </w:r>
            <w:r>
              <w:fldChar w:fldCharType="end"/>
            </w:r>
            <w:bookmarkEnd w:id="3"/>
          </w:p>
        </w:tc>
      </w:tr>
    </w:tbl>
    <w:p w14:paraId="6F9DA792" w14:textId="77777777" w:rsidR="0027503A" w:rsidRDefault="004218A8">
      <w:pPr>
        <w:pStyle w:val="affffd"/>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江</w:t>
      </w:r>
      <w:r>
        <w:rPr>
          <w:rFonts w:ascii="黑体" w:eastAsia="黑体" w:hint="eastAsia"/>
          <w:b w:val="0"/>
          <w:w w:val="100"/>
          <w:sz w:val="48"/>
        </w:rPr>
        <w:t>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0E328E1E" w14:textId="77777777" w:rsidR="0027503A" w:rsidRDefault="004218A8">
      <w:pPr>
        <w:pStyle w:val="affffffffff"/>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4482D4F6" w14:textId="77777777" w:rsidR="0027503A" w:rsidRDefault="004218A8">
      <w:pPr>
        <w:pStyle w:val="affffffffff0"/>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6A30C6D1" w14:textId="77777777" w:rsidR="0027503A" w:rsidRDefault="004218A8">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7D18958" wp14:editId="3C8EE01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C483DE1" w14:textId="77777777" w:rsidR="0027503A" w:rsidRDefault="0027503A">
      <w:pPr>
        <w:pStyle w:val="affffd"/>
        <w:framePr w:w="9639" w:h="6976" w:hRule="exact" w:hSpace="0" w:vSpace="0" w:wrap="around" w:hAnchor="page" w:y="6408"/>
        <w:jc w:val="center"/>
        <w:rPr>
          <w:rFonts w:ascii="黑体" w:eastAsia="黑体" w:hAnsi="黑体"/>
          <w:b w:val="0"/>
          <w:bCs w:val="0"/>
          <w:w w:val="100"/>
        </w:rPr>
      </w:pPr>
    </w:p>
    <w:p w14:paraId="2A7AC78B" w14:textId="77777777" w:rsidR="0027503A" w:rsidRDefault="004218A8">
      <w:pPr>
        <w:pStyle w:val="affffffffff1"/>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采供血过程风险管理</w:t>
      </w:r>
      <w:r>
        <w:t xml:space="preserve"> </w:t>
      </w:r>
      <w:r>
        <w:cr/>
        <w:t xml:space="preserve"> </w:t>
      </w:r>
      <w:r>
        <w:t>第</w:t>
      </w:r>
      <w:r>
        <w:t>1</w:t>
      </w:r>
      <w:r>
        <w:t>部分：原则与实施指南</w:t>
      </w:r>
      <w:r>
        <w:fldChar w:fldCharType="end"/>
      </w:r>
      <w:bookmarkEnd w:id="9"/>
    </w:p>
    <w:p w14:paraId="4345DB10" w14:textId="77777777" w:rsidR="0027503A" w:rsidRDefault="0027503A">
      <w:pPr>
        <w:framePr w:w="9639" w:h="6974" w:hRule="exact" w:wrap="around" w:vAnchor="page" w:hAnchor="page" w:x="1419" w:y="6408" w:anchorLock="1"/>
        <w:ind w:left="-1418"/>
      </w:pPr>
    </w:p>
    <w:p w14:paraId="69F1DE29" w14:textId="77777777" w:rsidR="0027503A" w:rsidRDefault="004218A8">
      <w:pPr>
        <w:pStyle w:val="afffffff5"/>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Risk management for the blood collection and supply process</w:t>
      </w:r>
    </w:p>
    <w:p w14:paraId="7EE4B391" w14:textId="77777777" w:rsidR="0027503A" w:rsidRDefault="004218A8">
      <w:pPr>
        <w:pStyle w:val="afffffff5"/>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t xml:space="preserve">Part 1: Principles and </w:t>
      </w:r>
      <w:r>
        <w:rPr>
          <w:rFonts w:ascii="黑体" w:eastAsia="黑体" w:hAnsi="黑体" w:hint="eastAsia"/>
          <w:szCs w:val="28"/>
        </w:rPr>
        <w:t>l</w:t>
      </w:r>
      <w:r>
        <w:rPr>
          <w:rFonts w:ascii="黑体" w:eastAsia="黑体" w:hAnsi="黑体"/>
          <w:szCs w:val="28"/>
        </w:rPr>
        <w:t xml:space="preserve">mplementation </w:t>
      </w:r>
      <w:r>
        <w:rPr>
          <w:rFonts w:ascii="黑体" w:eastAsia="黑体" w:hAnsi="黑体" w:hint="eastAsia"/>
          <w:szCs w:val="28"/>
        </w:rPr>
        <w:t>g</w:t>
      </w:r>
      <w:r>
        <w:rPr>
          <w:rFonts w:ascii="黑体" w:eastAsia="黑体" w:hAnsi="黑体"/>
          <w:szCs w:val="28"/>
        </w:rPr>
        <w:t>uidel</w:t>
      </w:r>
      <w:bookmarkStart w:id="11" w:name="_GoBack"/>
      <w:bookmarkEnd w:id="11"/>
      <w:r>
        <w:rPr>
          <w:rFonts w:ascii="黑体" w:eastAsia="黑体" w:hAnsi="黑体"/>
          <w:szCs w:val="28"/>
        </w:rPr>
        <w:t>ines</w:t>
      </w:r>
      <w:r>
        <w:rPr>
          <w:rFonts w:ascii="黑体" w:eastAsia="黑体" w:hAnsi="黑体"/>
          <w:szCs w:val="28"/>
        </w:rPr>
        <w:fldChar w:fldCharType="end"/>
      </w:r>
      <w:bookmarkEnd w:id="10"/>
    </w:p>
    <w:p w14:paraId="26C9B85D" w14:textId="77777777" w:rsidR="0027503A" w:rsidRDefault="0027503A">
      <w:pPr>
        <w:framePr w:w="9639" w:h="6974" w:hRule="exact" w:wrap="around" w:vAnchor="page" w:hAnchor="page" w:x="1419" w:y="6408" w:anchorLock="1"/>
        <w:spacing w:line="760" w:lineRule="exact"/>
        <w:ind w:left="-1418"/>
      </w:pPr>
    </w:p>
    <w:p w14:paraId="23B296D6" w14:textId="77777777" w:rsidR="0027503A" w:rsidRDefault="0027503A">
      <w:pPr>
        <w:pStyle w:val="afffffff5"/>
        <w:framePr w:w="9639" w:h="6974" w:hRule="exact" w:wrap="around" w:vAnchor="page" w:hAnchor="page" w:x="1419" w:y="6408" w:anchorLock="1"/>
        <w:textAlignment w:val="bottom"/>
        <w:rPr>
          <w:rFonts w:eastAsia="黑体"/>
          <w:szCs w:val="28"/>
        </w:rPr>
      </w:pPr>
    </w:p>
    <w:p w14:paraId="15515B6C" w14:textId="77777777" w:rsidR="0027503A" w:rsidRDefault="004218A8">
      <w:pPr>
        <w:pStyle w:val="afffffff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end"/>
      </w:r>
      <w:bookmarkEnd w:id="12"/>
    </w:p>
    <w:p w14:paraId="6D2D033E" w14:textId="3C3962D3" w:rsidR="0027503A" w:rsidRDefault="004218A8">
      <w:pPr>
        <w:pStyle w:val="afffffff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sidR="00BC2F67">
        <w:rPr>
          <w:sz w:val="21"/>
          <w:szCs w:val="28"/>
        </w:rPr>
        <w:t> </w:t>
      </w:r>
      <w:r w:rsidR="00BC2F67">
        <w:rPr>
          <w:sz w:val="21"/>
          <w:szCs w:val="28"/>
        </w:rPr>
        <w:t> </w:t>
      </w:r>
      <w:r w:rsidR="00BC2F67">
        <w:rPr>
          <w:sz w:val="21"/>
          <w:szCs w:val="28"/>
        </w:rPr>
        <w:t> </w:t>
      </w:r>
      <w:r w:rsidR="00BC2F67">
        <w:rPr>
          <w:sz w:val="21"/>
          <w:szCs w:val="28"/>
        </w:rPr>
        <w:t> </w:t>
      </w:r>
      <w:r w:rsidR="00BC2F67">
        <w:rPr>
          <w:sz w:val="21"/>
          <w:szCs w:val="28"/>
        </w:rPr>
        <w:t> </w:t>
      </w:r>
      <w:r>
        <w:rPr>
          <w:sz w:val="21"/>
          <w:szCs w:val="28"/>
        </w:rPr>
        <w:fldChar w:fldCharType="end"/>
      </w:r>
      <w:bookmarkEnd w:id="13"/>
    </w:p>
    <w:p w14:paraId="72E24686" w14:textId="1E6031A6" w:rsidR="0027503A" w:rsidRDefault="004218A8">
      <w:pPr>
        <w:pStyle w:val="afffffff5"/>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sidR="00BC2F67">
        <w:rPr>
          <w:b/>
          <w:sz w:val="21"/>
          <w:szCs w:val="28"/>
        </w:rPr>
      </w:r>
      <w:r>
        <w:rPr>
          <w:b/>
          <w:sz w:val="21"/>
          <w:szCs w:val="28"/>
        </w:rPr>
        <w:fldChar w:fldCharType="end"/>
      </w:r>
      <w:bookmarkEnd w:id="14"/>
    </w:p>
    <w:p w14:paraId="6DB87D2F" w14:textId="6AE1CE17" w:rsidR="0027503A" w:rsidRDefault="004218A8">
      <w:pPr>
        <w:pStyle w:val="afffffffffd"/>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sidR="00BC2F67">
        <w:rPr>
          <w:rFonts w:ascii="黑体" w:hint="eastAsia"/>
        </w:rPr>
        <w:t>2023</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59A773AD" w14:textId="187ECDDF" w:rsidR="0027503A" w:rsidRDefault="004218A8">
      <w:pPr>
        <w:pStyle w:val="afffffffffe"/>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sidR="00BC2F67">
        <w:rPr>
          <w:rFonts w:ascii="黑体" w:hint="eastAsia"/>
        </w:rPr>
        <w:t>2023</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080D9A94" w14:textId="77777777" w:rsidR="0027503A" w:rsidRDefault="004218A8">
      <w:pPr>
        <w:pStyle w:val="affffffff5"/>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江</w:t>
      </w:r>
      <w:r>
        <w:rPr>
          <w:rFonts w:hAnsi="黑体" w:hint="eastAsia"/>
          <w:w w:val="100"/>
          <w:sz w:val="28"/>
        </w:rPr>
        <w:t>苏省市场监督管理局</w:t>
      </w:r>
      <w:r>
        <w:rPr>
          <w:rFonts w:hAnsi="黑体"/>
          <w:w w:val="100"/>
          <w:sz w:val="28"/>
        </w:rPr>
        <w:fldChar w:fldCharType="end"/>
      </w:r>
      <w:bookmarkEnd w:id="21"/>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14:paraId="0CEFD45E" w14:textId="77777777" w:rsidR="0027503A" w:rsidRDefault="004218A8">
      <w:pPr>
        <w:rPr>
          <w:rFonts w:ascii="宋体" w:hAnsi="宋体"/>
          <w:sz w:val="28"/>
          <w:szCs w:val="28"/>
        </w:rPr>
        <w:sectPr w:rsidR="0027503A">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038AF25" wp14:editId="29A40CE3">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7B2E141" w14:textId="77777777" w:rsidR="0027503A" w:rsidRDefault="004218A8">
      <w:pPr>
        <w:pStyle w:val="affffff7"/>
        <w:spacing w:after="468"/>
      </w:pPr>
      <w:bookmarkStart w:id="22" w:name="BookMark1"/>
      <w:r>
        <w:rPr>
          <w:spacing w:val="320"/>
        </w:rPr>
        <w:lastRenderedPageBreak/>
        <w:t>目</w:t>
      </w:r>
      <w:r>
        <w:t>次</w:t>
      </w:r>
    </w:p>
    <w:p w14:paraId="547862EA" w14:textId="77777777" w:rsidR="0027503A" w:rsidRDefault="004218A8">
      <w:pPr>
        <w:pStyle w:val="10"/>
        <w:tabs>
          <w:tab w:val="right" w:leader="dot" w:pos="9354"/>
        </w:tabs>
      </w:pPr>
      <w:r>
        <w:fldChar w:fldCharType="begin"/>
      </w:r>
      <w:r>
        <w:instrText xml:space="preserve"> TOC \o "1-1" \h </w:instrText>
      </w:r>
      <w:r>
        <w:fldChar w:fldCharType="separate"/>
      </w:r>
      <w:hyperlink w:anchor="_Toc9292" w:history="1">
        <w:r>
          <w:rPr>
            <w:spacing w:val="320"/>
          </w:rPr>
          <w:t>前</w:t>
        </w:r>
        <w:r>
          <w:t>言</w:t>
        </w:r>
        <w:r>
          <w:tab/>
        </w:r>
        <w:r>
          <w:fldChar w:fldCharType="begin"/>
        </w:r>
        <w:r>
          <w:instrText xml:space="preserve"> PAGEREF _Toc9292 \h </w:instrText>
        </w:r>
        <w:r>
          <w:fldChar w:fldCharType="separate"/>
        </w:r>
        <w:r>
          <w:t>II</w:t>
        </w:r>
        <w:r>
          <w:fldChar w:fldCharType="end"/>
        </w:r>
      </w:hyperlink>
    </w:p>
    <w:p w14:paraId="29777EDB" w14:textId="77777777" w:rsidR="0027503A" w:rsidRDefault="004218A8">
      <w:pPr>
        <w:pStyle w:val="10"/>
        <w:tabs>
          <w:tab w:val="right" w:leader="dot" w:pos="9354"/>
        </w:tabs>
      </w:pPr>
      <w:hyperlink w:anchor="_Toc20094" w:history="1">
        <w:r>
          <w:rPr>
            <w:rFonts w:ascii="黑体" w:eastAsia="黑体" w:hint="eastAsia"/>
          </w:rPr>
          <w:t xml:space="preserve">1 </w:t>
        </w:r>
        <w:r>
          <w:rPr>
            <w:rFonts w:hint="eastAsia"/>
          </w:rPr>
          <w:t>范围</w:t>
        </w:r>
        <w:r>
          <w:tab/>
        </w:r>
        <w:r>
          <w:fldChar w:fldCharType="begin"/>
        </w:r>
        <w:r>
          <w:instrText xml:space="preserve"> PAGEREF _Toc20094 \h </w:instrText>
        </w:r>
        <w:r>
          <w:fldChar w:fldCharType="separate"/>
        </w:r>
        <w:r>
          <w:t>3</w:t>
        </w:r>
        <w:r>
          <w:fldChar w:fldCharType="end"/>
        </w:r>
      </w:hyperlink>
    </w:p>
    <w:p w14:paraId="684A54D9" w14:textId="77777777" w:rsidR="0027503A" w:rsidRDefault="004218A8">
      <w:pPr>
        <w:pStyle w:val="10"/>
        <w:tabs>
          <w:tab w:val="right" w:leader="dot" w:pos="9354"/>
        </w:tabs>
      </w:pPr>
      <w:hyperlink w:anchor="_Toc2312" w:history="1">
        <w:r>
          <w:rPr>
            <w:rFonts w:ascii="黑体" w:eastAsia="黑体" w:hint="eastAsia"/>
          </w:rPr>
          <w:t xml:space="preserve">2 </w:t>
        </w:r>
        <w:r>
          <w:rPr>
            <w:rFonts w:hint="eastAsia"/>
          </w:rPr>
          <w:t>规范性引用文件</w:t>
        </w:r>
        <w:r>
          <w:tab/>
        </w:r>
        <w:r>
          <w:fldChar w:fldCharType="begin"/>
        </w:r>
        <w:r>
          <w:instrText xml:space="preserve"> PAGEREF _Toc2312 \h </w:instrText>
        </w:r>
        <w:r>
          <w:fldChar w:fldCharType="separate"/>
        </w:r>
        <w:r>
          <w:t>3</w:t>
        </w:r>
        <w:r>
          <w:fldChar w:fldCharType="end"/>
        </w:r>
      </w:hyperlink>
    </w:p>
    <w:p w14:paraId="06A5F901" w14:textId="77777777" w:rsidR="0027503A" w:rsidRDefault="004218A8">
      <w:pPr>
        <w:pStyle w:val="10"/>
        <w:tabs>
          <w:tab w:val="right" w:leader="dot" w:pos="9354"/>
        </w:tabs>
      </w:pPr>
      <w:hyperlink w:anchor="_Toc31163" w:history="1">
        <w:r>
          <w:rPr>
            <w:rFonts w:ascii="黑体" w:eastAsia="黑体" w:hint="eastAsia"/>
          </w:rPr>
          <w:t xml:space="preserve">3 </w:t>
        </w:r>
        <w:r>
          <w:rPr>
            <w:rFonts w:hint="eastAsia"/>
          </w:rPr>
          <w:t>术语和定义</w:t>
        </w:r>
        <w:r>
          <w:tab/>
        </w:r>
        <w:r>
          <w:fldChar w:fldCharType="begin"/>
        </w:r>
        <w:r>
          <w:instrText xml:space="preserve"> PAGEREF _Toc31163 \h </w:instrText>
        </w:r>
        <w:r>
          <w:fldChar w:fldCharType="separate"/>
        </w:r>
        <w:r>
          <w:t>3</w:t>
        </w:r>
        <w:r>
          <w:fldChar w:fldCharType="end"/>
        </w:r>
      </w:hyperlink>
    </w:p>
    <w:p w14:paraId="284E4B9E" w14:textId="77777777" w:rsidR="0027503A" w:rsidRDefault="004218A8">
      <w:pPr>
        <w:pStyle w:val="10"/>
        <w:tabs>
          <w:tab w:val="right" w:leader="dot" w:pos="9354"/>
        </w:tabs>
      </w:pPr>
      <w:hyperlink w:anchor="_Toc9115" w:history="1">
        <w:r>
          <w:rPr>
            <w:rFonts w:ascii="黑体" w:eastAsia="黑体" w:hAnsi="黑体" w:cs="黑体" w:hint="eastAsia"/>
          </w:rPr>
          <w:t xml:space="preserve">4 </w:t>
        </w:r>
        <w:r>
          <w:rPr>
            <w:rFonts w:hAnsi="黑体" w:cs="黑体" w:hint="eastAsia"/>
          </w:rPr>
          <w:t>风险管理原则</w:t>
        </w:r>
        <w:r>
          <w:tab/>
        </w:r>
        <w:r>
          <w:fldChar w:fldCharType="begin"/>
        </w:r>
        <w:r>
          <w:instrText xml:space="preserve"> PAGEREF _Toc9115 \h </w:instrText>
        </w:r>
        <w:r>
          <w:fldChar w:fldCharType="separate"/>
        </w:r>
        <w:r>
          <w:t>3</w:t>
        </w:r>
        <w:r>
          <w:fldChar w:fldCharType="end"/>
        </w:r>
      </w:hyperlink>
    </w:p>
    <w:p w14:paraId="5EB7C556" w14:textId="77777777" w:rsidR="0027503A" w:rsidRDefault="004218A8">
      <w:pPr>
        <w:pStyle w:val="10"/>
        <w:tabs>
          <w:tab w:val="right" w:leader="dot" w:pos="9354"/>
        </w:tabs>
      </w:pPr>
      <w:hyperlink w:anchor="_Toc23360" w:history="1">
        <w:r>
          <w:rPr>
            <w:rFonts w:ascii="黑体" w:eastAsia="黑体" w:hint="eastAsia"/>
          </w:rPr>
          <w:t xml:space="preserve">5 </w:t>
        </w:r>
        <w:r>
          <w:rPr>
            <w:rFonts w:hint="eastAsia"/>
          </w:rPr>
          <w:t>风险管理过程</w:t>
        </w:r>
        <w:r>
          <w:tab/>
        </w:r>
        <w:r>
          <w:fldChar w:fldCharType="begin"/>
        </w:r>
        <w:r>
          <w:instrText xml:space="preserve"> PAGEREF _Toc23360 \h </w:instrText>
        </w:r>
        <w:r>
          <w:fldChar w:fldCharType="separate"/>
        </w:r>
        <w:r>
          <w:t>4</w:t>
        </w:r>
        <w:r>
          <w:fldChar w:fldCharType="end"/>
        </w:r>
      </w:hyperlink>
    </w:p>
    <w:p w14:paraId="4B1A6562" w14:textId="77777777" w:rsidR="0027503A" w:rsidRDefault="004218A8">
      <w:pPr>
        <w:pStyle w:val="10"/>
        <w:tabs>
          <w:tab w:val="right" w:leader="dot" w:pos="9354"/>
        </w:tabs>
      </w:pPr>
      <w:hyperlink w:anchor="_Toc22767" w:history="1">
        <w:r>
          <w:rPr>
            <w:rFonts w:ascii="黑体" w:eastAsia="黑体" w:hint="eastAsia"/>
          </w:rPr>
          <w:t xml:space="preserve">6 </w:t>
        </w:r>
        <w:r>
          <w:rPr>
            <w:rFonts w:hint="eastAsia"/>
          </w:rPr>
          <w:t>风险管理的实施</w:t>
        </w:r>
        <w:r>
          <w:tab/>
        </w:r>
        <w:r>
          <w:fldChar w:fldCharType="begin"/>
        </w:r>
        <w:r>
          <w:instrText xml:space="preserve"> PAGEREF _Toc22767 \h </w:instrText>
        </w:r>
        <w:r>
          <w:fldChar w:fldCharType="separate"/>
        </w:r>
        <w:r>
          <w:t>5</w:t>
        </w:r>
        <w:r>
          <w:fldChar w:fldCharType="end"/>
        </w:r>
      </w:hyperlink>
    </w:p>
    <w:p w14:paraId="4EB04514" w14:textId="77777777" w:rsidR="0027503A" w:rsidRDefault="004218A8">
      <w:pPr>
        <w:pStyle w:val="10"/>
        <w:tabs>
          <w:tab w:val="right" w:leader="dot" w:pos="9354"/>
        </w:tabs>
      </w:pPr>
      <w:hyperlink w:anchor="_Toc25788" w:history="1">
        <w:r>
          <w:rPr>
            <w:rFonts w:hint="eastAsia"/>
            <w:spacing w:val="105"/>
          </w:rPr>
          <w:t>参考文</w:t>
        </w:r>
        <w:r>
          <w:rPr>
            <w:rFonts w:hint="eastAsia"/>
          </w:rPr>
          <w:t>献</w:t>
        </w:r>
        <w:r>
          <w:tab/>
        </w:r>
        <w:r>
          <w:fldChar w:fldCharType="begin"/>
        </w:r>
        <w:r>
          <w:instrText xml:space="preserve"> PAGEREF _Toc25788 \h </w:instrText>
        </w:r>
        <w:r>
          <w:fldChar w:fldCharType="separate"/>
        </w:r>
        <w:r>
          <w:t>7</w:t>
        </w:r>
        <w:r>
          <w:fldChar w:fldCharType="end"/>
        </w:r>
      </w:hyperlink>
    </w:p>
    <w:p w14:paraId="5B57005B" w14:textId="77777777" w:rsidR="0027503A" w:rsidRDefault="004218A8">
      <w:pPr>
        <w:pStyle w:val="affffff7"/>
        <w:spacing w:after="468"/>
        <w:sectPr w:rsidR="0027503A">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14:paraId="33B59912" w14:textId="77777777" w:rsidR="0027503A" w:rsidRDefault="004218A8">
      <w:pPr>
        <w:pStyle w:val="a6"/>
        <w:spacing w:before="900" w:after="468"/>
      </w:pPr>
      <w:bookmarkStart w:id="23" w:name="_Toc9292"/>
      <w:bookmarkStart w:id="24" w:name="BookMark2"/>
      <w:bookmarkEnd w:id="22"/>
      <w:r>
        <w:rPr>
          <w:spacing w:val="320"/>
        </w:rPr>
        <w:lastRenderedPageBreak/>
        <w:t>前</w:t>
      </w:r>
      <w:r>
        <w:t>言</w:t>
      </w:r>
      <w:bookmarkEnd w:id="23"/>
    </w:p>
    <w:p w14:paraId="58BE2499" w14:textId="77777777" w:rsidR="0027503A" w:rsidRDefault="004218A8">
      <w:pPr>
        <w:pStyle w:val="afffff2"/>
        <w:ind w:firstLine="420"/>
      </w:pPr>
      <w:r>
        <w:rPr>
          <w:rFonts w:hint="eastAsia"/>
        </w:rPr>
        <w:t>本文件按照</w:t>
      </w:r>
      <w:r w:rsidRPr="00BC2F67">
        <w:rPr>
          <w:rFonts w:ascii="Times New Roman"/>
        </w:rPr>
        <w:t>GB/T 1.1—2020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118EF25A" w14:textId="77777777" w:rsidR="0027503A" w:rsidRDefault="004218A8">
      <w:pPr>
        <w:pStyle w:val="afffff2"/>
        <w:ind w:firstLine="420"/>
      </w:pPr>
      <w:r>
        <w:rPr>
          <w:rFonts w:ascii="Times New Roman"/>
        </w:rPr>
        <w:t>本</w:t>
      </w:r>
      <w:r>
        <w:rPr>
          <w:rFonts w:ascii="Times New Roman" w:hint="eastAsia"/>
        </w:rPr>
        <w:t>文件</w:t>
      </w:r>
      <w:r>
        <w:rPr>
          <w:rFonts w:ascii="Times New Roman"/>
        </w:rPr>
        <w:t>为</w:t>
      </w:r>
      <w:r>
        <w:rPr>
          <w:rFonts w:ascii="Times New Roman"/>
        </w:rPr>
        <w:t>DB</w:t>
      </w:r>
      <w:r>
        <w:rPr>
          <w:rFonts w:ascii="Times New Roman" w:hint="eastAsia"/>
        </w:rPr>
        <w:t xml:space="preserve">   </w:t>
      </w:r>
      <w:r>
        <w:rPr>
          <w:rFonts w:ascii="Times New Roman"/>
        </w:rPr>
        <w:t>的第</w:t>
      </w:r>
      <w:r>
        <w:rPr>
          <w:rFonts w:ascii="Times New Roman" w:hint="eastAsia"/>
        </w:rPr>
        <w:t>1</w:t>
      </w:r>
      <w:r>
        <w:rPr>
          <w:rFonts w:ascii="Times New Roman"/>
        </w:rPr>
        <w:t>部分</w:t>
      </w:r>
      <w:r>
        <w:rPr>
          <w:rFonts w:ascii="Times New Roman" w:hint="eastAsia"/>
        </w:rPr>
        <w:t>。</w:t>
      </w:r>
    </w:p>
    <w:p w14:paraId="33F42855" w14:textId="77777777" w:rsidR="0027503A" w:rsidRDefault="004218A8">
      <w:pPr>
        <w:pStyle w:val="afff7"/>
      </w:pPr>
      <w:r>
        <w:rPr>
          <w:rFonts w:hint="eastAsia"/>
        </w:rPr>
        <w:t>第</w:t>
      </w:r>
      <w:r>
        <w:rPr>
          <w:rFonts w:hint="eastAsia"/>
        </w:rPr>
        <w:t>1</w:t>
      </w:r>
      <w:r>
        <w:rPr>
          <w:rFonts w:hint="eastAsia"/>
        </w:rPr>
        <w:t>部分：原则与实施指南；</w:t>
      </w:r>
    </w:p>
    <w:p w14:paraId="38BC2337" w14:textId="77777777" w:rsidR="0027503A" w:rsidRDefault="004218A8">
      <w:pPr>
        <w:pStyle w:val="afff7"/>
      </w:pPr>
      <w:r>
        <w:t>第</w:t>
      </w:r>
      <w:r>
        <w:t>2</w:t>
      </w:r>
      <w:r>
        <w:t>部分：</w:t>
      </w:r>
      <w:bookmarkStart w:id="25" w:name="_Toc1614"/>
      <w:r>
        <w:rPr>
          <w:rFonts w:hint="eastAsia"/>
        </w:rPr>
        <w:t>献血者健康检查和血液采集风险控制规范</w:t>
      </w:r>
      <w:r>
        <w:t>；</w:t>
      </w:r>
      <w:bookmarkEnd w:id="25"/>
    </w:p>
    <w:p w14:paraId="249FC2C2" w14:textId="34463167" w:rsidR="0027503A" w:rsidRDefault="004218A8">
      <w:pPr>
        <w:pStyle w:val="afff7"/>
      </w:pPr>
      <w:r>
        <w:t>第</w:t>
      </w:r>
      <w:r>
        <w:rPr>
          <w:rFonts w:hint="eastAsia"/>
        </w:rPr>
        <w:t>3</w:t>
      </w:r>
      <w:r>
        <w:t>部分：</w:t>
      </w:r>
      <w:r>
        <w:rPr>
          <w:rFonts w:hint="eastAsia"/>
        </w:rPr>
        <w:t>献血不良反应风险控制规范</w:t>
      </w:r>
      <w:r>
        <w:t>；</w:t>
      </w:r>
    </w:p>
    <w:p w14:paraId="1FFF54C9" w14:textId="77777777" w:rsidR="0027503A" w:rsidRDefault="004218A8">
      <w:pPr>
        <w:pStyle w:val="afff7"/>
      </w:pPr>
      <w:bookmarkStart w:id="26" w:name="OLE_LINK2"/>
      <w:bookmarkStart w:id="27" w:name="OLE_LINK1"/>
      <w:r>
        <w:t>第</w:t>
      </w:r>
      <w:r>
        <w:rPr>
          <w:rFonts w:hint="eastAsia"/>
        </w:rPr>
        <w:t>4</w:t>
      </w:r>
      <w:r>
        <w:t>部分：</w:t>
      </w:r>
      <w:bookmarkStart w:id="28" w:name="_Toc19810"/>
      <w:bookmarkEnd w:id="26"/>
      <w:bookmarkEnd w:id="27"/>
      <w:r>
        <w:rPr>
          <w:rFonts w:hint="eastAsia"/>
        </w:rPr>
        <w:t>血液成分制备、储存、放行、发放和运输风险控制规范</w:t>
      </w:r>
      <w:r>
        <w:t>；</w:t>
      </w:r>
      <w:bookmarkEnd w:id="28"/>
    </w:p>
    <w:p w14:paraId="2164615D" w14:textId="77777777" w:rsidR="0027503A" w:rsidRDefault="004218A8">
      <w:pPr>
        <w:pStyle w:val="afff7"/>
      </w:pPr>
      <w:r>
        <w:t>第</w:t>
      </w:r>
      <w:r>
        <w:rPr>
          <w:rFonts w:hint="eastAsia"/>
        </w:rPr>
        <w:t>5</w:t>
      </w:r>
      <w:r>
        <w:t>部分：</w:t>
      </w:r>
      <w:bookmarkStart w:id="29" w:name="_Toc5569"/>
      <w:r>
        <w:rPr>
          <w:rFonts w:hint="eastAsia"/>
        </w:rPr>
        <w:t>血液检测过程风险控制规范</w:t>
      </w:r>
      <w:r>
        <w:t>；</w:t>
      </w:r>
      <w:bookmarkEnd w:id="29"/>
    </w:p>
    <w:p w14:paraId="22F7E50F" w14:textId="77777777" w:rsidR="0027503A" w:rsidRDefault="004218A8">
      <w:pPr>
        <w:pStyle w:val="afff7"/>
      </w:pPr>
      <w:r>
        <w:t>第</w:t>
      </w:r>
      <w:r>
        <w:rPr>
          <w:rFonts w:hint="eastAsia"/>
        </w:rPr>
        <w:t>6</w:t>
      </w:r>
      <w:r>
        <w:t>部分：</w:t>
      </w:r>
      <w:bookmarkStart w:id="30" w:name="_Toc3784"/>
      <w:bookmarkStart w:id="31" w:name="_Toc28749"/>
      <w:r>
        <w:rPr>
          <w:rFonts w:hint="eastAsia"/>
        </w:rPr>
        <w:t>质量管理与确认风险控制规范</w:t>
      </w:r>
      <w:r>
        <w:t>；</w:t>
      </w:r>
      <w:bookmarkEnd w:id="30"/>
      <w:bookmarkEnd w:id="31"/>
    </w:p>
    <w:p w14:paraId="1B1B33BD" w14:textId="77777777" w:rsidR="0027503A" w:rsidRDefault="004218A8">
      <w:pPr>
        <w:pStyle w:val="afff7"/>
      </w:pPr>
      <w:r>
        <w:t>第</w:t>
      </w:r>
      <w:r>
        <w:rPr>
          <w:rFonts w:hint="eastAsia"/>
        </w:rPr>
        <w:t>7</w:t>
      </w:r>
      <w:r>
        <w:t>部分：</w:t>
      </w:r>
      <w:r>
        <w:rPr>
          <w:rFonts w:hint="eastAsia"/>
        </w:rPr>
        <w:t>血站信息系统风险控制规范</w:t>
      </w:r>
      <w:r>
        <w:t>；</w:t>
      </w:r>
    </w:p>
    <w:p w14:paraId="7D9C917A" w14:textId="77777777" w:rsidR="0027503A" w:rsidRDefault="004218A8">
      <w:pPr>
        <w:pStyle w:val="afff7"/>
      </w:pPr>
      <w:r>
        <w:t>第</w:t>
      </w:r>
      <w:r>
        <w:rPr>
          <w:rFonts w:hint="eastAsia"/>
        </w:rPr>
        <w:t>8</w:t>
      </w:r>
      <w:r>
        <w:t>部分：</w:t>
      </w:r>
      <w:r>
        <w:rPr>
          <w:rFonts w:hint="eastAsia"/>
        </w:rPr>
        <w:t>血液应急保障风险控制规范</w:t>
      </w:r>
      <w:r>
        <w:t>；</w:t>
      </w:r>
    </w:p>
    <w:p w14:paraId="7A8601E2" w14:textId="77777777" w:rsidR="0027503A" w:rsidRDefault="004218A8">
      <w:pPr>
        <w:pStyle w:val="afff7"/>
        <w:rPr>
          <w:rFonts w:hAnsi="Calibri"/>
        </w:rPr>
      </w:pPr>
      <w:r>
        <w:t>第</w:t>
      </w:r>
      <w:r>
        <w:rPr>
          <w:rFonts w:hint="eastAsia"/>
        </w:rPr>
        <w:t>9</w:t>
      </w:r>
      <w:r>
        <w:t>部分：</w:t>
      </w:r>
      <w:r>
        <w:rPr>
          <w:rFonts w:hint="eastAsia"/>
        </w:rPr>
        <w:t>职业暴露风险控制规范。</w:t>
      </w:r>
    </w:p>
    <w:p w14:paraId="4FA2811E" w14:textId="77777777" w:rsidR="0027503A" w:rsidRDefault="004218A8">
      <w:pPr>
        <w:pStyle w:val="afffff2"/>
        <w:ind w:firstLine="420"/>
        <w:rPr>
          <w:rFonts w:ascii="Times New Roman"/>
        </w:rPr>
      </w:pPr>
      <w:r>
        <w:rPr>
          <w:rFonts w:ascii="Times New Roman" w:hint="eastAsia"/>
        </w:rPr>
        <w:t>请注意本文件的某些内容可能涉及专利。本文件的发布机构不承担识别专利的责任。</w:t>
      </w:r>
    </w:p>
    <w:p w14:paraId="2840488C" w14:textId="77777777" w:rsidR="0027503A" w:rsidRDefault="004218A8">
      <w:pPr>
        <w:pStyle w:val="afffff2"/>
        <w:ind w:firstLine="420"/>
      </w:pPr>
      <w:r>
        <w:rPr>
          <w:rFonts w:hint="eastAsia"/>
        </w:rPr>
        <w:t>本文件由</w:t>
      </w:r>
      <w:r>
        <w:rPr>
          <w:rFonts w:ascii="Times New Roman"/>
        </w:rPr>
        <w:t>江苏省卫生健康委员会</w:t>
      </w:r>
      <w:r>
        <w:rPr>
          <w:rFonts w:hint="eastAsia"/>
        </w:rPr>
        <w:t>提出。</w:t>
      </w:r>
    </w:p>
    <w:p w14:paraId="452BFBE0" w14:textId="77777777" w:rsidR="0027503A" w:rsidRDefault="004218A8">
      <w:pPr>
        <w:pStyle w:val="afffff2"/>
        <w:ind w:firstLine="420"/>
      </w:pPr>
      <w:r>
        <w:rPr>
          <w:rFonts w:hint="eastAsia"/>
        </w:rPr>
        <w:t>本文件由</w:t>
      </w:r>
      <w:r>
        <w:rPr>
          <w:rFonts w:ascii="Times New Roman"/>
        </w:rPr>
        <w:t>江苏省卫生标准化技术委员会</w:t>
      </w:r>
      <w:r>
        <w:rPr>
          <w:rFonts w:hint="eastAsia"/>
        </w:rPr>
        <w:t>归口。</w:t>
      </w:r>
    </w:p>
    <w:p w14:paraId="436A921F" w14:textId="77777777" w:rsidR="0027503A" w:rsidRDefault="004218A8">
      <w:pPr>
        <w:pStyle w:val="afffff2"/>
        <w:ind w:firstLine="420"/>
      </w:pPr>
      <w:r>
        <w:rPr>
          <w:rFonts w:hint="eastAsia"/>
        </w:rPr>
        <w:t>本文件起草单位：</w:t>
      </w:r>
      <w:r>
        <w:rPr>
          <w:rFonts w:ascii="Times New Roman" w:hint="eastAsia"/>
        </w:rPr>
        <w:t>江苏省血液中心、</w:t>
      </w:r>
      <w:r>
        <w:rPr>
          <w:rFonts w:hAnsi="宋体" w:cs="黑体" w:hint="eastAsia"/>
          <w:szCs w:val="21"/>
        </w:rPr>
        <w:t>徐州市中心血站、淮安市医学会、南京市红十字血液中心、扬州市中心血站、淮安市中心血站、</w:t>
      </w:r>
      <w:r>
        <w:rPr>
          <w:rFonts w:hAnsi="宋体" w:cs="黑体" w:hint="eastAsia"/>
          <w:szCs w:val="21"/>
        </w:rPr>
        <w:t>无锡市红十字中心血站、苏州市中心血站。</w:t>
      </w:r>
    </w:p>
    <w:p w14:paraId="6A748F9E" w14:textId="77777777" w:rsidR="0027503A" w:rsidRDefault="004218A8">
      <w:pPr>
        <w:pStyle w:val="afffff2"/>
        <w:ind w:firstLine="420"/>
      </w:pPr>
      <w:r>
        <w:rPr>
          <w:rFonts w:hint="eastAsia"/>
        </w:rPr>
        <w:t>本文件主要起草人：</w:t>
      </w:r>
      <w:r>
        <w:rPr>
          <w:rFonts w:ascii="Times New Roman" w:hint="eastAsia"/>
        </w:rPr>
        <w:t>周静宇、王连友、陈跃、傅强、李正刚、许守广、董长征、李丽、姜健、王亚菊、杨莹、俞彦。</w:t>
      </w:r>
    </w:p>
    <w:p w14:paraId="14B690DE" w14:textId="77777777" w:rsidR="0027503A" w:rsidRDefault="0027503A">
      <w:pPr>
        <w:pStyle w:val="afffff2"/>
        <w:ind w:firstLine="420"/>
      </w:pPr>
    </w:p>
    <w:p w14:paraId="3AE060C7" w14:textId="77777777" w:rsidR="0027503A" w:rsidRDefault="0027503A">
      <w:pPr>
        <w:pStyle w:val="afffff2"/>
        <w:ind w:firstLine="420"/>
        <w:sectPr w:rsidR="0027503A">
          <w:pgSz w:w="11906" w:h="16838"/>
          <w:pgMar w:top="1928" w:right="1134" w:bottom="1134" w:left="1134" w:header="1418" w:footer="1134" w:gutter="284"/>
          <w:pgNumType w:fmt="upperRoman"/>
          <w:cols w:space="425"/>
          <w:formProt w:val="0"/>
          <w:docGrid w:type="lines" w:linePitch="312"/>
        </w:sectPr>
      </w:pPr>
    </w:p>
    <w:p w14:paraId="4CED7AC0" w14:textId="77777777" w:rsidR="0027503A" w:rsidRDefault="0027503A">
      <w:pPr>
        <w:spacing w:line="20" w:lineRule="exact"/>
        <w:jc w:val="center"/>
        <w:rPr>
          <w:rFonts w:ascii="黑体" w:eastAsia="黑体" w:hAnsi="黑体"/>
          <w:sz w:val="32"/>
          <w:szCs w:val="32"/>
        </w:rPr>
      </w:pPr>
      <w:bookmarkStart w:id="32" w:name="BookMark4"/>
      <w:bookmarkEnd w:id="24"/>
    </w:p>
    <w:p w14:paraId="4D8AE407" w14:textId="77777777" w:rsidR="0027503A" w:rsidRDefault="0027503A">
      <w:pPr>
        <w:spacing w:line="20" w:lineRule="exact"/>
        <w:jc w:val="center"/>
        <w:rPr>
          <w:rFonts w:ascii="黑体" w:eastAsia="黑体" w:hAnsi="黑体"/>
          <w:sz w:val="32"/>
          <w:szCs w:val="32"/>
        </w:rPr>
      </w:pPr>
    </w:p>
    <w:bookmarkStart w:id="33" w:name="NEW_STAND_NAME" w:displacedByCustomXml="next"/>
    <w:sdt>
      <w:sdtPr>
        <w:tag w:val="NEW_STAND_NAME"/>
        <w:id w:val="595910757"/>
        <w:lock w:val="sdtLocked"/>
        <w:placeholder>
          <w:docPart w:val="CE8E8752FB4249ACBE844646231F6B23"/>
        </w:placeholder>
      </w:sdtPr>
      <w:sdtEndPr/>
      <w:sdtContent>
        <w:p w14:paraId="645AB6EF" w14:textId="77777777" w:rsidR="0027503A" w:rsidRDefault="004218A8">
          <w:pPr>
            <w:pStyle w:val="afffffffff5"/>
            <w:spacing w:beforeLines="1" w:before="3" w:afterLines="1" w:after="3"/>
          </w:pPr>
          <w:r>
            <w:rPr>
              <w:rFonts w:hint="eastAsia"/>
            </w:rPr>
            <w:t>采供血过程风险管理</w:t>
          </w:r>
          <w:r>
            <w:t xml:space="preserve"> </w:t>
          </w:r>
        </w:p>
        <w:p w14:paraId="0728D93A" w14:textId="77777777" w:rsidR="0027503A" w:rsidRDefault="004218A8">
          <w:pPr>
            <w:pStyle w:val="afffffffff5"/>
            <w:spacing w:beforeLines="1" w:before="3" w:after="680"/>
          </w:pPr>
          <w:r>
            <w:t xml:space="preserve"> </w:t>
          </w:r>
          <w:r>
            <w:t>第</w:t>
          </w:r>
          <w:r>
            <w:t>1</w:t>
          </w:r>
          <w:r>
            <w:t>部分</w:t>
          </w:r>
          <w:r>
            <w:rPr>
              <w:rFonts w:hint="eastAsia"/>
            </w:rPr>
            <w:t>：</w:t>
          </w:r>
          <w:r>
            <w:t>原则与实施指南</w:t>
          </w:r>
        </w:p>
      </w:sdtContent>
    </w:sdt>
    <w:p w14:paraId="452236D9" w14:textId="77777777" w:rsidR="0027503A" w:rsidRDefault="004218A8">
      <w:pPr>
        <w:pStyle w:val="afff"/>
        <w:spacing w:before="312" w:after="312"/>
      </w:pPr>
      <w:bookmarkStart w:id="34" w:name="_Toc26986530"/>
      <w:bookmarkStart w:id="35" w:name="_Toc17233333"/>
      <w:bookmarkStart w:id="36" w:name="_Toc97191423"/>
      <w:bookmarkStart w:id="37" w:name="_Toc17233325"/>
      <w:bookmarkStart w:id="38" w:name="_Toc26718930"/>
      <w:bookmarkStart w:id="39" w:name="_Toc138251842"/>
      <w:bookmarkStart w:id="40" w:name="_Toc24884218"/>
      <w:bookmarkStart w:id="41" w:name="_Toc24884211"/>
      <w:bookmarkStart w:id="42" w:name="_Toc26986771"/>
      <w:bookmarkStart w:id="43" w:name="_Toc26648465"/>
      <w:bookmarkStart w:id="44" w:name="_Toc20094"/>
      <w:bookmarkEnd w:id="33"/>
      <w:r>
        <w:rPr>
          <w:rFonts w:hint="eastAsia"/>
        </w:rPr>
        <w:t>范围</w:t>
      </w:r>
      <w:bookmarkEnd w:id="34"/>
      <w:bookmarkEnd w:id="35"/>
      <w:bookmarkEnd w:id="36"/>
      <w:bookmarkEnd w:id="37"/>
      <w:bookmarkEnd w:id="38"/>
      <w:bookmarkEnd w:id="39"/>
      <w:bookmarkEnd w:id="40"/>
      <w:bookmarkEnd w:id="41"/>
      <w:bookmarkEnd w:id="42"/>
      <w:bookmarkEnd w:id="43"/>
      <w:bookmarkEnd w:id="44"/>
    </w:p>
    <w:p w14:paraId="4C9F0630" w14:textId="77777777" w:rsidR="0027503A" w:rsidRDefault="004218A8">
      <w:pPr>
        <w:pStyle w:val="afffffffffff7"/>
      </w:pPr>
      <w:bookmarkStart w:id="45" w:name="_Toc26648466"/>
      <w:bookmarkStart w:id="46" w:name="_Toc17233334"/>
      <w:bookmarkStart w:id="47" w:name="_Toc24884219"/>
      <w:bookmarkStart w:id="48" w:name="_Toc17233326"/>
      <w:bookmarkStart w:id="49" w:name="_Toc24884212"/>
      <w:r>
        <w:rPr>
          <w:rFonts w:hint="eastAsia"/>
        </w:rPr>
        <w:t>本文件提供了血站采供血过程风险管理的原则、管理</w:t>
      </w:r>
      <w:r>
        <w:rPr>
          <w:rFonts w:hAnsi="宋体" w:cs="宋体" w:hint="eastAsia"/>
        </w:rPr>
        <w:t>过程</w:t>
      </w:r>
      <w:r>
        <w:rPr>
          <w:rFonts w:hint="eastAsia"/>
        </w:rPr>
        <w:t>和实施要求。</w:t>
      </w:r>
    </w:p>
    <w:p w14:paraId="0BBD33BC" w14:textId="77777777" w:rsidR="0027503A" w:rsidRDefault="004218A8">
      <w:pPr>
        <w:pStyle w:val="afffff2"/>
        <w:ind w:firstLine="420"/>
      </w:pPr>
      <w:r>
        <w:rPr>
          <w:rFonts w:hint="eastAsia"/>
        </w:rPr>
        <w:t>本文件适用于一般血站的采供血风险管理过程。</w:t>
      </w:r>
    </w:p>
    <w:p w14:paraId="74767408" w14:textId="77777777" w:rsidR="0027503A" w:rsidRDefault="004218A8">
      <w:pPr>
        <w:pStyle w:val="afff"/>
        <w:spacing w:before="312" w:after="312"/>
      </w:pPr>
      <w:bookmarkStart w:id="50" w:name="_Toc26986531"/>
      <w:bookmarkStart w:id="51" w:name="_Toc26986772"/>
      <w:bookmarkStart w:id="52" w:name="_Toc138251843"/>
      <w:bookmarkStart w:id="53" w:name="_Toc97191424"/>
      <w:bookmarkStart w:id="54" w:name="_Toc26718931"/>
      <w:bookmarkStart w:id="55" w:name="_Toc2312"/>
      <w:r>
        <w:rPr>
          <w:rFonts w:hint="eastAsia"/>
        </w:rPr>
        <w:t>规范性引用文件</w:t>
      </w:r>
      <w:bookmarkEnd w:id="45"/>
      <w:bookmarkEnd w:id="46"/>
      <w:bookmarkEnd w:id="47"/>
      <w:bookmarkEnd w:id="48"/>
      <w:bookmarkEnd w:id="49"/>
      <w:bookmarkEnd w:id="50"/>
      <w:bookmarkEnd w:id="51"/>
      <w:bookmarkEnd w:id="52"/>
      <w:bookmarkEnd w:id="53"/>
      <w:bookmarkEnd w:id="54"/>
      <w:bookmarkEnd w:id="55"/>
    </w:p>
    <w:sdt>
      <w:sdtPr>
        <w:rPr>
          <w:rFonts w:hint="eastAsia"/>
        </w:rPr>
        <w:id w:val="715848253"/>
        <w:placeholder>
          <w:docPart w:val="37E886F566B64AFA809BD6D4EFE232D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F4E54B5" w14:textId="77777777" w:rsidR="0027503A" w:rsidRDefault="004218A8">
          <w:pPr>
            <w:pStyle w:val="afffff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B14A30E" w14:textId="112F2A01" w:rsidR="0027503A" w:rsidRDefault="004218A8">
      <w:pPr>
        <w:pStyle w:val="afffffffffff7"/>
      </w:pPr>
      <w:bookmarkStart w:id="56" w:name="_Toc97191425"/>
      <w:bookmarkStart w:id="57" w:name="_Toc138251844"/>
      <w:r>
        <w:rPr>
          <w:rFonts w:hint="eastAsia"/>
        </w:rPr>
        <w:t xml:space="preserve">GB/T 19001 </w:t>
      </w:r>
      <w:r w:rsidR="00BC2F67">
        <w:rPr>
          <w:rFonts w:hint="eastAsia"/>
        </w:rPr>
        <w:t xml:space="preserve"> </w:t>
      </w:r>
      <w:r>
        <w:rPr>
          <w:rFonts w:hint="eastAsia"/>
        </w:rPr>
        <w:t>质量管理体系</w:t>
      </w:r>
    </w:p>
    <w:p w14:paraId="61C0414D" w14:textId="596B18D7" w:rsidR="0027503A" w:rsidRDefault="004218A8">
      <w:pPr>
        <w:pStyle w:val="afffffffffff7"/>
      </w:pPr>
      <w:r>
        <w:rPr>
          <w:rFonts w:hint="eastAsia"/>
        </w:rPr>
        <w:t xml:space="preserve">GB/T 23694 </w:t>
      </w:r>
      <w:r w:rsidR="00BC2F67">
        <w:rPr>
          <w:rFonts w:hint="eastAsia"/>
        </w:rPr>
        <w:t xml:space="preserve"> </w:t>
      </w:r>
      <w:r>
        <w:rPr>
          <w:rFonts w:hint="eastAsia"/>
        </w:rPr>
        <w:t>风险管理</w:t>
      </w:r>
      <w:r>
        <w:rPr>
          <w:rFonts w:hint="eastAsia"/>
        </w:rPr>
        <w:t xml:space="preserve"> </w:t>
      </w:r>
      <w:r>
        <w:rPr>
          <w:rFonts w:hint="eastAsia"/>
        </w:rPr>
        <w:t>术语</w:t>
      </w:r>
    </w:p>
    <w:p w14:paraId="2796127F" w14:textId="7CA4DDF2" w:rsidR="0027503A" w:rsidRDefault="004218A8">
      <w:pPr>
        <w:pStyle w:val="afffffffffff7"/>
        <w:rPr>
          <w:rFonts w:hAnsi="宋体" w:cs="宋体"/>
          <w:bCs/>
          <w:color w:val="000000"/>
        </w:rPr>
      </w:pPr>
      <w:r>
        <w:rPr>
          <w:rFonts w:hint="eastAsia"/>
        </w:rPr>
        <w:t xml:space="preserve">WS/T 203 </w:t>
      </w:r>
      <w:r w:rsidR="00BC2F67">
        <w:rPr>
          <w:rFonts w:hint="eastAsia"/>
        </w:rPr>
        <w:t xml:space="preserve"> </w:t>
      </w:r>
      <w:r>
        <w:rPr>
          <w:rFonts w:hint="eastAsia"/>
        </w:rPr>
        <w:t>输血医学术语</w:t>
      </w:r>
      <w:r>
        <w:rPr>
          <w:rFonts w:hAnsi="宋体" w:hint="eastAsia"/>
          <w:color w:val="000000"/>
        </w:rPr>
        <w:t xml:space="preserve"> </w:t>
      </w:r>
    </w:p>
    <w:p w14:paraId="43505EB7" w14:textId="77777777" w:rsidR="0027503A" w:rsidRDefault="004218A8">
      <w:pPr>
        <w:pStyle w:val="afff"/>
        <w:spacing w:before="312" w:after="312"/>
      </w:pPr>
      <w:bookmarkStart w:id="58" w:name="_Toc31163"/>
      <w:r>
        <w:rPr>
          <w:rFonts w:hint="eastAsia"/>
          <w:szCs w:val="21"/>
        </w:rPr>
        <w:t>术语和定义</w:t>
      </w:r>
      <w:bookmarkEnd w:id="56"/>
      <w:bookmarkEnd w:id="57"/>
      <w:bookmarkEnd w:id="58"/>
    </w:p>
    <w:bookmarkStart w:id="59" w:name="_Toc26986532" w:displacedByCustomXml="next"/>
    <w:bookmarkEnd w:id="59" w:displacedByCustomXml="next"/>
    <w:sdt>
      <w:sdtPr>
        <w:id w:val="-1909835108"/>
        <w:placeholder>
          <w:docPart w:val="B4311B6B8EB24194A6C3B2FC001F4AB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287AF84" w14:textId="36F163B6" w:rsidR="0027503A" w:rsidRDefault="004218A8" w:rsidP="00E6531C">
          <w:pPr>
            <w:pStyle w:val="afffff2"/>
            <w:ind w:firstLine="420"/>
          </w:pPr>
          <w:r>
            <w:rPr>
              <w:rFonts w:hint="eastAsia"/>
            </w:rPr>
            <w:t>GB/T 19001</w:t>
          </w:r>
          <w:r>
            <w:rPr>
              <w:rFonts w:hint="eastAsia"/>
            </w:rPr>
            <w:t>、</w:t>
          </w:r>
          <w:r>
            <w:rPr>
              <w:rFonts w:hint="eastAsia"/>
            </w:rPr>
            <w:t>GB/T 23694</w:t>
          </w:r>
          <w:r>
            <w:rPr>
              <w:rFonts w:hint="eastAsia"/>
            </w:rPr>
            <w:t>、</w:t>
          </w:r>
          <w:r>
            <w:rPr>
              <w:rFonts w:hint="eastAsia"/>
            </w:rPr>
            <w:t xml:space="preserve"> WS/T 203</w:t>
          </w:r>
          <w:r>
            <w:rPr>
              <w:rFonts w:hint="eastAsia"/>
            </w:rPr>
            <w:t>、</w:t>
          </w:r>
          <w:r>
            <w:rPr>
              <w:rFonts w:hint="eastAsia"/>
            </w:rPr>
            <w:t>T/CSBT 001</w:t>
          </w:r>
          <w:r>
            <w:t>界定的以及下列术语和定义适用于本文件。</w:t>
          </w:r>
        </w:p>
      </w:sdtContent>
    </w:sdt>
    <w:bookmarkStart w:id="60" w:name="_Toc138251845" w:displacedByCustomXml="prev"/>
    <w:p w14:paraId="6A653397" w14:textId="41FF774C" w:rsidR="0027503A" w:rsidRPr="00E6531C" w:rsidRDefault="00E6531C" w:rsidP="00E6531C">
      <w:pPr>
        <w:pStyle w:val="afffffffffff1"/>
        <w:ind w:left="420" w:hangingChars="200" w:hanging="420"/>
        <w:rPr>
          <w:rFonts w:ascii="黑体" w:eastAsia="黑体" w:hAnsi="黑体"/>
        </w:rPr>
      </w:pPr>
      <w:r w:rsidRPr="00E6531C">
        <w:rPr>
          <w:rFonts w:ascii="黑体" w:eastAsia="黑体" w:hAnsi="黑体"/>
        </w:rPr>
        <w:br/>
      </w:r>
      <w:r w:rsidRPr="00E6531C">
        <w:rPr>
          <w:rFonts w:ascii="黑体" w:eastAsia="黑体" w:hAnsi="黑体" w:hint="eastAsia"/>
        </w:rPr>
        <w:t>采供血风险  blood collection and supply risk</w:t>
      </w:r>
      <w:bookmarkEnd w:id="60"/>
    </w:p>
    <w:p w14:paraId="0D534103" w14:textId="35C00755" w:rsidR="0027503A" w:rsidRDefault="004218A8" w:rsidP="00E6531C">
      <w:pPr>
        <w:pStyle w:val="afffff2"/>
        <w:ind w:firstLine="420"/>
      </w:pPr>
      <w:r>
        <w:rPr>
          <w:rFonts w:hint="eastAsia"/>
          <w:szCs w:val="21"/>
        </w:rPr>
        <w:t>发生采供血不良事件的可能性。</w:t>
      </w:r>
    </w:p>
    <w:p w14:paraId="4DF1D852" w14:textId="1B80E15C" w:rsidR="0027503A" w:rsidRPr="00E6531C" w:rsidRDefault="00E6531C" w:rsidP="00E6531C">
      <w:pPr>
        <w:pStyle w:val="afffffffffff1"/>
        <w:ind w:left="420" w:hangingChars="200" w:hanging="420"/>
        <w:rPr>
          <w:rFonts w:ascii="黑体" w:eastAsia="黑体" w:hAnsi="黑体"/>
        </w:rPr>
      </w:pPr>
      <w:r w:rsidRPr="00E6531C">
        <w:rPr>
          <w:rFonts w:ascii="黑体" w:eastAsia="黑体" w:hAnsi="黑体"/>
        </w:rPr>
        <w:br/>
      </w:r>
      <w:r w:rsidRPr="00E6531C">
        <w:rPr>
          <w:rFonts w:ascii="黑体" w:eastAsia="黑体" w:hAnsi="黑体" w:hint="eastAsia"/>
        </w:rPr>
        <w:t>利益相关方 Interested parties</w:t>
      </w:r>
    </w:p>
    <w:p w14:paraId="52049F86" w14:textId="77777777" w:rsidR="0027503A" w:rsidRDefault="004218A8">
      <w:pPr>
        <w:pStyle w:val="afffff2"/>
        <w:ind w:firstLine="420"/>
        <w:rPr>
          <w:rFonts w:hAnsi="宋体" w:cs="宋体"/>
        </w:rPr>
      </w:pPr>
      <w:r>
        <w:rPr>
          <w:rFonts w:ascii="Arial" w:hAnsi="Arial" w:cs="Arial"/>
          <w:color w:val="333333"/>
          <w:szCs w:val="21"/>
          <w:shd w:val="clear" w:color="auto" w:fill="FFFFFF"/>
        </w:rPr>
        <w:t>在</w:t>
      </w:r>
      <w:r>
        <w:rPr>
          <w:rFonts w:ascii="Arial" w:hAnsi="Arial" w:cs="Arial" w:hint="eastAsia"/>
          <w:color w:val="333333"/>
          <w:szCs w:val="21"/>
          <w:shd w:val="clear" w:color="auto" w:fill="FFFFFF"/>
        </w:rPr>
        <w:t>血站</w:t>
      </w:r>
      <w:r>
        <w:rPr>
          <w:rFonts w:ascii="Arial" w:hAnsi="Arial" w:cs="Arial"/>
          <w:color w:val="333333"/>
          <w:szCs w:val="21"/>
          <w:shd w:val="clear" w:color="auto" w:fill="FFFFFF"/>
        </w:rPr>
        <w:t>的决策或活动中有重要利益的</w:t>
      </w:r>
      <w:r>
        <w:rPr>
          <w:rFonts w:ascii="Arial" w:hAnsi="Arial" w:cs="Arial" w:hint="eastAsia"/>
          <w:color w:val="333333"/>
          <w:szCs w:val="21"/>
          <w:shd w:val="clear" w:color="auto" w:fill="FFFFFF"/>
        </w:rPr>
        <w:t>外部</w:t>
      </w:r>
      <w:r>
        <w:rPr>
          <w:rFonts w:ascii="Arial" w:hAnsi="Arial" w:cs="Arial"/>
          <w:color w:val="333333"/>
          <w:szCs w:val="21"/>
          <w:shd w:val="clear" w:color="auto" w:fill="FFFFFF"/>
        </w:rPr>
        <w:t>个人或团体。</w:t>
      </w:r>
      <w:r>
        <w:rPr>
          <w:rFonts w:hint="eastAsia"/>
        </w:rPr>
        <w:t>包括献血者、用</w:t>
      </w:r>
      <w:proofErr w:type="gramStart"/>
      <w:r>
        <w:rPr>
          <w:rFonts w:hint="eastAsia"/>
        </w:rPr>
        <w:t>血医疗</w:t>
      </w:r>
      <w:proofErr w:type="gramEnd"/>
      <w:r>
        <w:rPr>
          <w:rFonts w:hint="eastAsia"/>
        </w:rPr>
        <w:t>机构、卫生健康行政部门、其他血站等。</w:t>
      </w:r>
    </w:p>
    <w:p w14:paraId="1668BA70" w14:textId="77777777" w:rsidR="0027503A" w:rsidRDefault="004218A8">
      <w:pPr>
        <w:pStyle w:val="afff"/>
        <w:spacing w:before="312" w:after="312"/>
        <w:rPr>
          <w:rFonts w:hAnsi="黑体" w:cs="黑体"/>
        </w:rPr>
      </w:pPr>
      <w:bookmarkStart w:id="61" w:name="_Toc138251847"/>
      <w:bookmarkStart w:id="62" w:name="_Toc9115"/>
      <w:r>
        <w:rPr>
          <w:rFonts w:hAnsi="黑体" w:cs="黑体" w:hint="eastAsia"/>
        </w:rPr>
        <w:t>风险管理原则</w:t>
      </w:r>
      <w:bookmarkEnd w:id="61"/>
      <w:bookmarkEnd w:id="62"/>
    </w:p>
    <w:p w14:paraId="4AC51D99" w14:textId="77777777" w:rsidR="0027503A" w:rsidRDefault="004218A8">
      <w:pPr>
        <w:pStyle w:val="afff0"/>
        <w:spacing w:before="156" w:after="156"/>
        <w:rPr>
          <w:szCs w:val="21"/>
        </w:rPr>
      </w:pPr>
      <w:bookmarkStart w:id="63" w:name="_Toc138251849"/>
      <w:r>
        <w:rPr>
          <w:rFonts w:hint="eastAsia"/>
          <w:szCs w:val="21"/>
        </w:rPr>
        <w:t>融入血站质量管理</w:t>
      </w:r>
      <w:bookmarkEnd w:id="63"/>
    </w:p>
    <w:p w14:paraId="070D584B" w14:textId="77777777" w:rsidR="0027503A" w:rsidRDefault="004218A8">
      <w:pPr>
        <w:pStyle w:val="afffff2"/>
        <w:ind w:firstLine="420"/>
      </w:pPr>
      <w:r>
        <w:rPr>
          <w:rFonts w:hint="eastAsia"/>
        </w:rPr>
        <w:t>将采供血风险管理作为血站质量管理过程中不可缺少的重要组成部分。血站应在内部所有层级建立并保持风险防范意识，履行对质量管理和风险管理的承诺。</w:t>
      </w:r>
    </w:p>
    <w:p w14:paraId="2600E354" w14:textId="77777777" w:rsidR="0027503A" w:rsidRDefault="004218A8">
      <w:pPr>
        <w:pStyle w:val="afff0"/>
        <w:spacing w:before="156" w:after="156"/>
      </w:pPr>
      <w:bookmarkStart w:id="64" w:name="_Toc138251851"/>
      <w:r>
        <w:rPr>
          <w:rFonts w:hint="eastAsia"/>
        </w:rPr>
        <w:t>应用系统方法</w:t>
      </w:r>
      <w:bookmarkEnd w:id="64"/>
    </w:p>
    <w:p w14:paraId="0B1DDC32" w14:textId="77777777" w:rsidR="0027503A" w:rsidRDefault="004218A8">
      <w:pPr>
        <w:pStyle w:val="afffff2"/>
        <w:wordWrap w:val="0"/>
        <w:ind w:firstLine="420"/>
      </w:pPr>
      <w:r>
        <w:rPr>
          <w:rFonts w:hint="eastAsia"/>
        </w:rPr>
        <w:t>对采供血过程及人、机、料、法、环、信息等进行管理，宜采用</w:t>
      </w:r>
      <w:r>
        <w:rPr>
          <w:rFonts w:ascii="Times New Roman"/>
        </w:rPr>
        <w:t>PDCA</w:t>
      </w:r>
      <w:r>
        <w:rPr>
          <w:rFonts w:hint="eastAsia"/>
        </w:rPr>
        <w:t>循环提升过程能力。</w:t>
      </w:r>
    </w:p>
    <w:p w14:paraId="13951301" w14:textId="77777777" w:rsidR="0027503A" w:rsidRDefault="004218A8">
      <w:pPr>
        <w:pStyle w:val="afff0"/>
        <w:spacing w:before="156" w:after="156"/>
      </w:pPr>
      <w:bookmarkStart w:id="65" w:name="_Toc138251852"/>
      <w:r>
        <w:rPr>
          <w:rFonts w:hint="eastAsia"/>
        </w:rPr>
        <w:t>以信息为基础</w:t>
      </w:r>
      <w:bookmarkEnd w:id="65"/>
    </w:p>
    <w:p w14:paraId="5906C09D" w14:textId="77777777" w:rsidR="0027503A" w:rsidRDefault="004218A8">
      <w:pPr>
        <w:pStyle w:val="afffff2"/>
        <w:ind w:firstLine="420"/>
        <w:rPr>
          <w:rFonts w:hAnsi="宋体"/>
        </w:rPr>
      </w:pPr>
      <w:r>
        <w:rPr>
          <w:rFonts w:hint="eastAsia"/>
        </w:rPr>
        <w:t>风险管理过程要以有效的信息为基础。可通过反馈、观察、预测和专家判断等多种渠道获取信息，</w:t>
      </w:r>
      <w:r>
        <w:rPr>
          <w:rFonts w:hAnsi="宋体" w:hint="eastAsia"/>
        </w:rPr>
        <w:t>确定、测量和监视关键指标，使用适宜方法对数据和信息进行分析和评价，证实血站采供血过程风险管控的效果。</w:t>
      </w:r>
    </w:p>
    <w:p w14:paraId="73182A2A" w14:textId="77777777" w:rsidR="0027503A" w:rsidRDefault="004218A8">
      <w:pPr>
        <w:pStyle w:val="afff0"/>
        <w:spacing w:before="156" w:after="156"/>
      </w:pPr>
      <w:bookmarkStart w:id="66" w:name="_Toc138251853"/>
      <w:r>
        <w:rPr>
          <w:rFonts w:hint="eastAsia"/>
        </w:rPr>
        <w:lastRenderedPageBreak/>
        <w:t>重视环境影响</w:t>
      </w:r>
      <w:bookmarkEnd w:id="66"/>
    </w:p>
    <w:p w14:paraId="01167304" w14:textId="77777777" w:rsidR="0027503A" w:rsidRDefault="004218A8">
      <w:pPr>
        <w:pStyle w:val="afffff2"/>
        <w:ind w:firstLine="420"/>
      </w:pPr>
      <w:r>
        <w:rPr>
          <w:rFonts w:hint="eastAsia"/>
        </w:rPr>
        <w:t>采供血风险管理取决于血站所处的内、外部环境，同时受人文因素的影响。</w:t>
      </w:r>
    </w:p>
    <w:p w14:paraId="55470757" w14:textId="77777777" w:rsidR="0027503A" w:rsidRDefault="004218A8">
      <w:pPr>
        <w:pStyle w:val="afff0"/>
        <w:spacing w:before="156" w:after="156"/>
      </w:pPr>
      <w:bookmarkStart w:id="67" w:name="_Toc138251854"/>
      <w:r>
        <w:rPr>
          <w:rFonts w:hint="eastAsia"/>
        </w:rPr>
        <w:t>全员参与</w:t>
      </w:r>
      <w:bookmarkEnd w:id="67"/>
    </w:p>
    <w:p w14:paraId="20F178DD" w14:textId="77777777" w:rsidR="0027503A" w:rsidRDefault="004218A8">
      <w:pPr>
        <w:pStyle w:val="afffff2"/>
        <w:ind w:firstLine="420"/>
      </w:pPr>
      <w:r>
        <w:rPr>
          <w:rFonts w:hint="eastAsia"/>
        </w:rPr>
        <w:t>血站全体员工应积极参与采供血过程风险管理，确保其有效性。</w:t>
      </w:r>
    </w:p>
    <w:p w14:paraId="6AB67692" w14:textId="77777777" w:rsidR="0027503A" w:rsidRDefault="004218A8">
      <w:pPr>
        <w:pStyle w:val="afff0"/>
        <w:spacing w:before="156" w:after="156"/>
      </w:pPr>
      <w:bookmarkStart w:id="68" w:name="_Toc138251855"/>
      <w:r>
        <w:rPr>
          <w:rFonts w:hint="eastAsia"/>
        </w:rPr>
        <w:t>持续改进</w:t>
      </w:r>
      <w:bookmarkEnd w:id="68"/>
    </w:p>
    <w:p w14:paraId="74EFB965" w14:textId="77777777" w:rsidR="0027503A" w:rsidRDefault="004218A8">
      <w:pPr>
        <w:pStyle w:val="afffff2"/>
        <w:ind w:firstLine="420"/>
      </w:pPr>
      <w:r>
        <w:rPr>
          <w:rFonts w:hint="eastAsia"/>
        </w:rPr>
        <w:t>采供血风险管理是随环境变化而变化的动态过程，血站应及时对各种变化做出恰当的反应。血站可通过绩效测量、检查等手段，持续改进风险管理。</w:t>
      </w:r>
    </w:p>
    <w:p w14:paraId="2BA84949" w14:textId="77777777" w:rsidR="0027503A" w:rsidRDefault="004218A8">
      <w:pPr>
        <w:pStyle w:val="afff"/>
        <w:spacing w:before="312" w:after="312"/>
      </w:pPr>
      <w:bookmarkStart w:id="69" w:name="_Toc138251856"/>
      <w:bookmarkStart w:id="70" w:name="_Toc23360"/>
      <w:r>
        <w:rPr>
          <w:rFonts w:hint="eastAsia"/>
        </w:rPr>
        <w:t>风险管理过程</w:t>
      </w:r>
      <w:bookmarkEnd w:id="69"/>
      <w:bookmarkEnd w:id="70"/>
    </w:p>
    <w:p w14:paraId="72103714" w14:textId="77777777" w:rsidR="0027503A" w:rsidRDefault="004218A8">
      <w:pPr>
        <w:pStyle w:val="afff0"/>
        <w:spacing w:before="156" w:after="156"/>
      </w:pPr>
      <w:bookmarkStart w:id="71" w:name="_Toc138251857"/>
      <w:r>
        <w:rPr>
          <w:rFonts w:hint="eastAsia"/>
        </w:rPr>
        <w:t>明确环境要求</w:t>
      </w:r>
      <w:bookmarkEnd w:id="71"/>
    </w:p>
    <w:p w14:paraId="731DF7FE" w14:textId="77777777" w:rsidR="0027503A" w:rsidRDefault="004218A8">
      <w:pPr>
        <w:pStyle w:val="afff1"/>
        <w:spacing w:before="156" w:after="156"/>
      </w:pPr>
      <w:r>
        <w:rPr>
          <w:rFonts w:hint="eastAsia"/>
        </w:rPr>
        <w:t>外部</w:t>
      </w:r>
      <w:r>
        <w:rPr>
          <w:rFonts w:hint="eastAsia"/>
        </w:rPr>
        <w:t>环境</w:t>
      </w:r>
      <w:r>
        <w:tab/>
      </w:r>
    </w:p>
    <w:p w14:paraId="5FBFC3AE" w14:textId="77777777" w:rsidR="0027503A" w:rsidRDefault="004218A8">
      <w:pPr>
        <w:pStyle w:val="afffff2"/>
        <w:ind w:firstLine="420"/>
      </w:pPr>
      <w:r>
        <w:rPr>
          <w:rFonts w:hint="eastAsia"/>
        </w:rPr>
        <w:t>明确血站在实现目标过程中所面临的</w:t>
      </w:r>
      <w:proofErr w:type="gramStart"/>
      <w:r>
        <w:rPr>
          <w:rFonts w:hint="eastAsia"/>
        </w:rPr>
        <w:t>的</w:t>
      </w:r>
      <w:proofErr w:type="gramEnd"/>
      <w:r>
        <w:rPr>
          <w:rFonts w:hint="eastAsia"/>
        </w:rPr>
        <w:t>外部环境信息，包括法律和监管要求、利益相关方诉求、行业发展进展、</w:t>
      </w:r>
      <w:proofErr w:type="gramStart"/>
      <w:r>
        <w:rPr>
          <w:rFonts w:hint="eastAsia"/>
        </w:rPr>
        <w:t>与采供血</w:t>
      </w:r>
      <w:proofErr w:type="gramEnd"/>
      <w:r>
        <w:rPr>
          <w:rFonts w:hint="eastAsia"/>
        </w:rPr>
        <w:t>风险管理过程相关的其他方面的信息等。</w:t>
      </w:r>
    </w:p>
    <w:p w14:paraId="5AC2E684" w14:textId="77777777" w:rsidR="0027503A" w:rsidRDefault="004218A8">
      <w:pPr>
        <w:pStyle w:val="afff1"/>
        <w:spacing w:before="156" w:after="156"/>
      </w:pPr>
      <w:r>
        <w:rPr>
          <w:rFonts w:hint="eastAsia"/>
        </w:rPr>
        <w:t>内部环境</w:t>
      </w:r>
    </w:p>
    <w:p w14:paraId="02123CE9" w14:textId="77777777" w:rsidR="0027503A" w:rsidRDefault="004218A8">
      <w:pPr>
        <w:pStyle w:val="afffff2"/>
        <w:ind w:firstLine="420"/>
      </w:pPr>
      <w:r>
        <w:rPr>
          <w:rFonts w:hint="eastAsia"/>
        </w:rPr>
        <w:t>明确血站在实现目标过程中所面临的内部环境信息，包括血站的方针、目标、资源、信息系统、决策过程，内部各部门及其诉求、风险承受度，血站采用的标准、组织结构、管理过程和措施等。</w:t>
      </w:r>
    </w:p>
    <w:p w14:paraId="10B759CA" w14:textId="77777777" w:rsidR="0027503A" w:rsidRDefault="004218A8">
      <w:pPr>
        <w:pStyle w:val="afff0"/>
        <w:spacing w:before="156" w:after="156"/>
      </w:pPr>
      <w:bookmarkStart w:id="72" w:name="_Toc138251859"/>
      <w:r>
        <w:rPr>
          <w:rFonts w:hint="eastAsia"/>
        </w:rPr>
        <w:t>开展风险评估</w:t>
      </w:r>
      <w:bookmarkEnd w:id="72"/>
    </w:p>
    <w:p w14:paraId="64FC5521" w14:textId="77777777" w:rsidR="0027503A" w:rsidRDefault="004218A8">
      <w:pPr>
        <w:pStyle w:val="afff1"/>
        <w:spacing w:before="156" w:after="156"/>
      </w:pPr>
      <w:r>
        <w:rPr>
          <w:rFonts w:hint="eastAsia"/>
        </w:rPr>
        <w:t>风险识别</w:t>
      </w:r>
    </w:p>
    <w:p w14:paraId="3F5AAD0D" w14:textId="77777777" w:rsidR="0027503A" w:rsidRDefault="004218A8">
      <w:pPr>
        <w:pStyle w:val="afffff2"/>
        <w:ind w:firstLine="420"/>
      </w:pPr>
      <w:r>
        <w:rPr>
          <w:rFonts w:hint="eastAsia"/>
        </w:rPr>
        <w:t>通过识别血站风险源、影响范围、事件及其原因、潜在后果等，生成一个全面的风险列表。风险识别时应掌握采供血相关最新的信息和适用的背景信息。采用的风险识别工具和</w:t>
      </w:r>
      <w:r>
        <w:rPr>
          <w:rFonts w:hint="eastAsia"/>
        </w:rPr>
        <w:t>技术应当与目标、能力及所处环境相适应。</w:t>
      </w:r>
    </w:p>
    <w:p w14:paraId="14ADB24D" w14:textId="77777777" w:rsidR="0027503A" w:rsidRDefault="004218A8">
      <w:pPr>
        <w:pStyle w:val="afff1"/>
        <w:spacing w:before="156" w:after="156"/>
      </w:pPr>
      <w:r>
        <w:rPr>
          <w:rFonts w:hint="eastAsia"/>
        </w:rPr>
        <w:t>风险分析</w:t>
      </w:r>
    </w:p>
    <w:p w14:paraId="669E00FF" w14:textId="77777777" w:rsidR="0027503A" w:rsidRDefault="004218A8">
      <w:pPr>
        <w:pStyle w:val="afffff2"/>
        <w:ind w:firstLine="420"/>
      </w:pPr>
      <w:r>
        <w:rPr>
          <w:rFonts w:hint="eastAsia"/>
        </w:rPr>
        <w:t>根据风险类型、获得的信息和风险评估结果，对识别出的采供血风险进行定性或定量的分析。风险分析时应考虑血站的风险承受度，必要时，可与血站管理层、利益相关方进行沟通。</w:t>
      </w:r>
    </w:p>
    <w:p w14:paraId="56992C59" w14:textId="77777777" w:rsidR="0027503A" w:rsidRDefault="004218A8">
      <w:pPr>
        <w:pStyle w:val="afff0"/>
        <w:spacing w:before="156" w:after="156"/>
      </w:pPr>
      <w:bookmarkStart w:id="73" w:name="_Toc138251860"/>
      <w:r>
        <w:rPr>
          <w:rFonts w:hint="eastAsia"/>
        </w:rPr>
        <w:t>实施风险控制</w:t>
      </w:r>
      <w:bookmarkEnd w:id="73"/>
    </w:p>
    <w:p w14:paraId="4D4739E2" w14:textId="77777777" w:rsidR="0027503A" w:rsidRDefault="004218A8">
      <w:pPr>
        <w:pStyle w:val="afff1"/>
        <w:spacing w:before="156" w:after="156"/>
      </w:pPr>
      <w:r>
        <w:rPr>
          <w:rFonts w:hint="eastAsia"/>
        </w:rPr>
        <w:t>制定风险控制措施</w:t>
      </w:r>
    </w:p>
    <w:p w14:paraId="40846DFD" w14:textId="77777777" w:rsidR="0027503A" w:rsidRDefault="004218A8" w:rsidP="00E6531C">
      <w:pPr>
        <w:pStyle w:val="afffff2"/>
        <w:ind w:firstLine="420"/>
        <w:rPr>
          <w:rFonts w:ascii="Times New Roman"/>
          <w:kern w:val="2"/>
          <w:szCs w:val="24"/>
        </w:rPr>
      </w:pPr>
      <w:r>
        <w:rPr>
          <w:rFonts w:hint="eastAsia"/>
        </w:rPr>
        <w:t>制定采供血风险控制措施时，应覆盖采</w:t>
      </w:r>
      <w:proofErr w:type="gramStart"/>
      <w:r>
        <w:rPr>
          <w:rFonts w:hint="eastAsia"/>
        </w:rPr>
        <w:t>供血全</w:t>
      </w:r>
      <w:proofErr w:type="gramEnd"/>
      <w:r>
        <w:rPr>
          <w:rFonts w:hint="eastAsia"/>
        </w:rPr>
        <w:t>过程，以及人、机、料、法、环、信息等方面，应考虑各种内、外部环境因素。</w:t>
      </w:r>
      <w:r>
        <w:rPr>
          <w:rFonts w:ascii="Times New Roman" w:hint="eastAsia"/>
          <w:kern w:val="2"/>
          <w:szCs w:val="24"/>
        </w:rPr>
        <w:t>风险控制措施可以包含以下选择：</w:t>
      </w:r>
    </w:p>
    <w:p w14:paraId="337C696A" w14:textId="77777777" w:rsidR="0027503A" w:rsidRDefault="004218A8">
      <w:pPr>
        <w:pStyle w:val="af5"/>
      </w:pPr>
      <w:r>
        <w:rPr>
          <w:rFonts w:hint="eastAsia"/>
        </w:rPr>
        <w:t>停止可能导致风险的活动；</w:t>
      </w:r>
    </w:p>
    <w:p w14:paraId="46E4CD91" w14:textId="77777777" w:rsidR="0027503A" w:rsidRDefault="004218A8">
      <w:pPr>
        <w:pStyle w:val="af5"/>
      </w:pPr>
      <w:r>
        <w:rPr>
          <w:rFonts w:hint="eastAsia"/>
        </w:rPr>
        <w:t>消除具有负面影响的风险源；</w:t>
      </w:r>
    </w:p>
    <w:p w14:paraId="52AF0725" w14:textId="77777777" w:rsidR="0027503A" w:rsidRDefault="004218A8">
      <w:pPr>
        <w:pStyle w:val="af5"/>
      </w:pPr>
      <w:r>
        <w:rPr>
          <w:rFonts w:hint="eastAsia"/>
        </w:rPr>
        <w:t>降低风险事件发生的可能性和后果；</w:t>
      </w:r>
    </w:p>
    <w:p w14:paraId="1FB1FD9F" w14:textId="77777777" w:rsidR="0027503A" w:rsidRDefault="004218A8">
      <w:pPr>
        <w:pStyle w:val="af5"/>
      </w:pPr>
      <w:r>
        <w:rPr>
          <w:rFonts w:hint="eastAsia"/>
        </w:rPr>
        <w:t>转移风险；</w:t>
      </w:r>
    </w:p>
    <w:p w14:paraId="0A5B74D0" w14:textId="77777777" w:rsidR="0027503A" w:rsidRDefault="004218A8">
      <w:pPr>
        <w:pStyle w:val="af5"/>
      </w:pPr>
      <w:r>
        <w:rPr>
          <w:rFonts w:hint="eastAsia"/>
        </w:rPr>
        <w:t>分担风险；</w:t>
      </w:r>
    </w:p>
    <w:p w14:paraId="719CFDF1" w14:textId="77777777" w:rsidR="0027503A" w:rsidRDefault="004218A8">
      <w:pPr>
        <w:pStyle w:val="af5"/>
      </w:pPr>
      <w:r>
        <w:rPr>
          <w:rFonts w:hint="eastAsia"/>
        </w:rPr>
        <w:lastRenderedPageBreak/>
        <w:t>保留风险等。</w:t>
      </w:r>
    </w:p>
    <w:p w14:paraId="2EC6F11A" w14:textId="77777777" w:rsidR="0027503A" w:rsidRDefault="004218A8">
      <w:pPr>
        <w:pStyle w:val="afff1"/>
        <w:spacing w:before="156" w:after="156"/>
      </w:pPr>
      <w:r>
        <w:rPr>
          <w:rFonts w:hint="eastAsia"/>
        </w:rPr>
        <w:t>制定风险应对计划</w:t>
      </w:r>
    </w:p>
    <w:p w14:paraId="211C3150" w14:textId="77777777" w:rsidR="0027503A" w:rsidRDefault="004218A8">
      <w:pPr>
        <w:ind w:firstLineChars="200" w:firstLine="420"/>
      </w:pPr>
      <w:r>
        <w:rPr>
          <w:rFonts w:hint="eastAsia"/>
        </w:rPr>
        <w:t>在确定风险控制措施后，应制定相应的风险应对计划。风险应对计划</w:t>
      </w:r>
      <w:proofErr w:type="gramStart"/>
      <w:r>
        <w:rPr>
          <w:rFonts w:hint="eastAsia"/>
        </w:rPr>
        <w:t>宜包括</w:t>
      </w:r>
      <w:proofErr w:type="gramEnd"/>
      <w:r>
        <w:rPr>
          <w:rFonts w:hint="eastAsia"/>
        </w:rPr>
        <w:t>以下内容：</w:t>
      </w:r>
    </w:p>
    <w:p w14:paraId="519C8CBF" w14:textId="77777777" w:rsidR="0027503A" w:rsidRDefault="004218A8">
      <w:pPr>
        <w:pStyle w:val="af5"/>
      </w:pPr>
      <w:r>
        <w:rPr>
          <w:rFonts w:hint="eastAsia"/>
        </w:rPr>
        <w:t>预期效果；</w:t>
      </w:r>
    </w:p>
    <w:p w14:paraId="7DD06E8C" w14:textId="77777777" w:rsidR="0027503A" w:rsidRDefault="004218A8">
      <w:pPr>
        <w:pStyle w:val="af5"/>
      </w:pPr>
      <w:r>
        <w:rPr>
          <w:rFonts w:hint="eastAsia"/>
        </w:rPr>
        <w:t>绩效指标及考核方法；</w:t>
      </w:r>
    </w:p>
    <w:p w14:paraId="402DF808" w14:textId="77777777" w:rsidR="0027503A" w:rsidRDefault="004218A8">
      <w:pPr>
        <w:pStyle w:val="af5"/>
      </w:pPr>
      <w:r>
        <w:rPr>
          <w:rFonts w:hint="eastAsia"/>
        </w:rPr>
        <w:t>风险管理责任人、风险应对措施实施人的职责；</w:t>
      </w:r>
    </w:p>
    <w:p w14:paraId="3E911875" w14:textId="77777777" w:rsidR="0027503A" w:rsidRDefault="004218A8">
      <w:pPr>
        <w:pStyle w:val="af5"/>
      </w:pPr>
      <w:r>
        <w:rPr>
          <w:rFonts w:hint="eastAsia"/>
        </w:rPr>
        <w:t>风险应对措施涉及的具体采供血业务和管理活动；</w:t>
      </w:r>
    </w:p>
    <w:p w14:paraId="5F641A44" w14:textId="77777777" w:rsidR="0027503A" w:rsidRDefault="004218A8">
      <w:pPr>
        <w:pStyle w:val="af5"/>
      </w:pPr>
      <w:r>
        <w:rPr>
          <w:rFonts w:hint="eastAsia"/>
        </w:rPr>
        <w:t>选择多种风险应对措施时，应确定措施的优先顺序；</w:t>
      </w:r>
    </w:p>
    <w:p w14:paraId="1E5093C6" w14:textId="77777777" w:rsidR="0027503A" w:rsidRDefault="004218A8">
      <w:pPr>
        <w:pStyle w:val="af5"/>
      </w:pPr>
      <w:r>
        <w:rPr>
          <w:rFonts w:hint="eastAsia"/>
        </w:rPr>
        <w:t>监督、检查和报告的要求；</w:t>
      </w:r>
    </w:p>
    <w:p w14:paraId="1441CA14" w14:textId="77777777" w:rsidR="0027503A" w:rsidRDefault="004218A8">
      <w:pPr>
        <w:pStyle w:val="af5"/>
      </w:pPr>
      <w:r>
        <w:rPr>
          <w:rFonts w:hint="eastAsia"/>
        </w:rPr>
        <w:t>与内部各部门、利益相关方的沟通安排；</w:t>
      </w:r>
    </w:p>
    <w:p w14:paraId="3AF22F1E" w14:textId="77777777" w:rsidR="0027503A" w:rsidRDefault="004218A8">
      <w:pPr>
        <w:pStyle w:val="af5"/>
      </w:pPr>
      <w:r>
        <w:rPr>
          <w:rFonts w:hint="eastAsia"/>
        </w:rPr>
        <w:t>资源需求，包括应急机制的资源需求；</w:t>
      </w:r>
    </w:p>
    <w:p w14:paraId="7806612B" w14:textId="77777777" w:rsidR="0027503A" w:rsidRDefault="004218A8">
      <w:pPr>
        <w:pStyle w:val="af5"/>
      </w:pPr>
      <w:r>
        <w:rPr>
          <w:rFonts w:hint="eastAsia"/>
        </w:rPr>
        <w:t>实施时间表等。</w:t>
      </w:r>
    </w:p>
    <w:p w14:paraId="27CAB592" w14:textId="77777777" w:rsidR="0027503A" w:rsidRDefault="004218A8">
      <w:pPr>
        <w:pStyle w:val="afff0"/>
        <w:spacing w:before="156" w:after="156"/>
      </w:pPr>
      <w:r>
        <w:rPr>
          <w:rFonts w:hint="eastAsia"/>
        </w:rPr>
        <w:t>监督和检查</w:t>
      </w:r>
    </w:p>
    <w:p w14:paraId="26A45AC3" w14:textId="77777777" w:rsidR="0027503A" w:rsidRDefault="004218A8">
      <w:pPr>
        <w:ind w:firstLineChars="200" w:firstLine="420"/>
      </w:pPr>
      <w:r>
        <w:rPr>
          <w:rFonts w:hint="eastAsia"/>
        </w:rPr>
        <w:t>监督和检查包括常规检查、定期和不定期检</w:t>
      </w:r>
      <w:proofErr w:type="gramStart"/>
      <w:r>
        <w:rPr>
          <w:rFonts w:hint="eastAsia"/>
        </w:rPr>
        <w:t>査</w:t>
      </w:r>
      <w:proofErr w:type="gramEnd"/>
      <w:r>
        <w:rPr>
          <w:rFonts w:hint="eastAsia"/>
        </w:rPr>
        <w:t>等，应记录检查的结果。主要职责包括：</w:t>
      </w:r>
    </w:p>
    <w:p w14:paraId="0A3AB193" w14:textId="77777777" w:rsidR="0027503A" w:rsidRDefault="004218A8">
      <w:pPr>
        <w:pStyle w:val="af5"/>
      </w:pPr>
      <w:r>
        <w:rPr>
          <w:rFonts w:hint="eastAsia"/>
        </w:rPr>
        <w:t>对照风险应对计划，检查工作情况，保证风</w:t>
      </w:r>
      <w:r>
        <w:rPr>
          <w:rFonts w:hint="eastAsia"/>
        </w:rPr>
        <w:t>险应对措施实施有效；</w:t>
      </w:r>
    </w:p>
    <w:p w14:paraId="08BB19DD" w14:textId="77777777" w:rsidR="0027503A" w:rsidRDefault="004218A8">
      <w:pPr>
        <w:pStyle w:val="af5"/>
      </w:pPr>
      <w:r>
        <w:rPr>
          <w:rFonts w:hint="eastAsia"/>
        </w:rPr>
        <w:t>检查风险应对计划的实施进度；</w:t>
      </w:r>
    </w:p>
    <w:p w14:paraId="0CDBF560" w14:textId="77777777" w:rsidR="0027503A" w:rsidRDefault="004218A8">
      <w:pPr>
        <w:pStyle w:val="af5"/>
      </w:pPr>
      <w:r>
        <w:rPr>
          <w:rFonts w:hint="eastAsia"/>
        </w:rPr>
        <w:t>评估风险管理效果。</w:t>
      </w:r>
    </w:p>
    <w:p w14:paraId="6D611F4A" w14:textId="77777777" w:rsidR="0027503A" w:rsidRDefault="004218A8">
      <w:pPr>
        <w:pStyle w:val="afff"/>
        <w:spacing w:before="312" w:after="312"/>
      </w:pPr>
      <w:bookmarkStart w:id="74" w:name="_Toc138251861"/>
      <w:bookmarkStart w:id="75" w:name="_Toc22767"/>
      <w:r>
        <w:rPr>
          <w:rFonts w:hint="eastAsia"/>
        </w:rPr>
        <w:t>风险管理的实施</w:t>
      </w:r>
      <w:bookmarkEnd w:id="74"/>
      <w:bookmarkEnd w:id="75"/>
    </w:p>
    <w:p w14:paraId="41FA5BA9" w14:textId="77777777" w:rsidR="0027503A" w:rsidRDefault="004218A8">
      <w:pPr>
        <w:pStyle w:val="afff0"/>
        <w:spacing w:before="156" w:after="156"/>
      </w:pPr>
      <w:bookmarkStart w:id="76" w:name="_Toc138251862"/>
      <w:r>
        <w:rPr>
          <w:rFonts w:hint="eastAsia"/>
        </w:rPr>
        <w:t>职责</w:t>
      </w:r>
      <w:bookmarkEnd w:id="76"/>
    </w:p>
    <w:p w14:paraId="3C9B2CF3" w14:textId="77777777" w:rsidR="0027503A" w:rsidRDefault="004218A8">
      <w:pPr>
        <w:pStyle w:val="afff1"/>
        <w:numPr>
          <w:ilvl w:val="0"/>
          <w:numId w:val="0"/>
        </w:numPr>
        <w:spacing w:before="156" w:after="156"/>
        <w:ind w:firstLineChars="200" w:firstLine="420"/>
        <w:rPr>
          <w:rFonts w:ascii="宋体" w:eastAsia="宋体" w:hAnsi="宋体" w:cs="宋体"/>
        </w:rPr>
      </w:pPr>
      <w:bookmarkStart w:id="77" w:name="_Toc138251863"/>
      <w:r>
        <w:rPr>
          <w:rFonts w:ascii="宋体" w:eastAsia="宋体" w:hAnsi="宋体" w:cs="宋体" w:hint="eastAsia"/>
        </w:rPr>
        <w:t>血站管理层应支持和参与采供血风险管理，确保能够提供充足的人力和其他资源。各部门应主动确定和评估采供血过程风险，尽量降低不良事件风险的发生率。</w:t>
      </w:r>
    </w:p>
    <w:p w14:paraId="281835DA" w14:textId="77777777" w:rsidR="0027503A" w:rsidRDefault="004218A8">
      <w:pPr>
        <w:pStyle w:val="afff0"/>
        <w:spacing w:before="156" w:after="156"/>
      </w:pPr>
      <w:r>
        <w:rPr>
          <w:rFonts w:hint="eastAsia"/>
        </w:rPr>
        <w:t>建立风险管理体系</w:t>
      </w:r>
      <w:bookmarkEnd w:id="77"/>
    </w:p>
    <w:p w14:paraId="43D6C24A" w14:textId="77777777" w:rsidR="0027503A" w:rsidRDefault="004218A8">
      <w:pPr>
        <w:pStyle w:val="afffff2"/>
        <w:ind w:firstLine="420"/>
      </w:pPr>
      <w:r>
        <w:rPr>
          <w:rFonts w:hint="eastAsia"/>
        </w:rPr>
        <w:t>血站应建立采供血风险管理体系，将其嵌入到血站的所有活动和过程中。采供血风险管理体系主要包括以下要素：</w:t>
      </w:r>
    </w:p>
    <w:p w14:paraId="20E85F69" w14:textId="77777777" w:rsidR="0027503A" w:rsidRDefault="004218A8">
      <w:pPr>
        <w:pStyle w:val="af5"/>
      </w:pPr>
      <w:r>
        <w:rPr>
          <w:rFonts w:hint="eastAsia"/>
        </w:rPr>
        <w:t>风险管理方针；</w:t>
      </w:r>
    </w:p>
    <w:p w14:paraId="0DA10069" w14:textId="77777777" w:rsidR="0027503A" w:rsidRDefault="004218A8">
      <w:pPr>
        <w:pStyle w:val="af5"/>
      </w:pPr>
      <w:r>
        <w:rPr>
          <w:rFonts w:hint="eastAsia"/>
        </w:rPr>
        <w:t>风险管理制度和程序；</w:t>
      </w:r>
    </w:p>
    <w:p w14:paraId="749977A2" w14:textId="77777777" w:rsidR="0027503A" w:rsidRDefault="004218A8">
      <w:pPr>
        <w:pStyle w:val="af5"/>
      </w:pPr>
      <w:r>
        <w:rPr>
          <w:rFonts w:hint="eastAsia"/>
        </w:rPr>
        <w:t>与血站组织结构相关的风险管理职责；</w:t>
      </w:r>
    </w:p>
    <w:p w14:paraId="3E8F8A99" w14:textId="77777777" w:rsidR="0027503A" w:rsidRDefault="004218A8">
      <w:pPr>
        <w:pStyle w:val="af5"/>
      </w:pPr>
      <w:r>
        <w:rPr>
          <w:rFonts w:hint="eastAsia"/>
        </w:rPr>
        <w:t>与血站绩效指标一致的风险管理绩效指标；</w:t>
      </w:r>
    </w:p>
    <w:p w14:paraId="23C4D617" w14:textId="77777777" w:rsidR="0027503A" w:rsidRDefault="004218A8">
      <w:pPr>
        <w:pStyle w:val="af5"/>
      </w:pPr>
      <w:r>
        <w:rPr>
          <w:rFonts w:hint="eastAsia"/>
        </w:rPr>
        <w:t>风险管理所需的资源保障；</w:t>
      </w:r>
    </w:p>
    <w:p w14:paraId="51560746" w14:textId="77777777" w:rsidR="0027503A" w:rsidRDefault="004218A8">
      <w:pPr>
        <w:pStyle w:val="af5"/>
      </w:pPr>
      <w:r>
        <w:rPr>
          <w:rFonts w:hint="eastAsia"/>
        </w:rPr>
        <w:t>与</w:t>
      </w:r>
      <w:proofErr w:type="gramStart"/>
      <w:r>
        <w:rPr>
          <w:rFonts w:hint="eastAsia"/>
        </w:rPr>
        <w:t>所有利益</w:t>
      </w:r>
      <w:proofErr w:type="gramEnd"/>
      <w:r>
        <w:rPr>
          <w:rFonts w:hint="eastAsia"/>
        </w:rPr>
        <w:t>相关方的沟通机制；</w:t>
      </w:r>
    </w:p>
    <w:p w14:paraId="6C61D6E1" w14:textId="77777777" w:rsidR="0027503A" w:rsidRDefault="004218A8">
      <w:pPr>
        <w:pStyle w:val="af5"/>
      </w:pPr>
      <w:r>
        <w:rPr>
          <w:rFonts w:hint="eastAsia"/>
        </w:rPr>
        <w:t>风险管理所需技术手段、方法和工具等。</w:t>
      </w:r>
    </w:p>
    <w:p w14:paraId="007D5666" w14:textId="77777777" w:rsidR="0027503A" w:rsidRDefault="004218A8">
      <w:pPr>
        <w:pStyle w:val="afff0"/>
        <w:spacing w:before="156" w:after="156"/>
      </w:pPr>
      <w:bookmarkStart w:id="78" w:name="_Toc138251864"/>
      <w:r>
        <w:rPr>
          <w:rFonts w:hint="eastAsia"/>
        </w:rPr>
        <w:t>制定管理方针</w:t>
      </w:r>
      <w:bookmarkEnd w:id="78"/>
    </w:p>
    <w:p w14:paraId="636846D1" w14:textId="77777777" w:rsidR="0027503A" w:rsidRDefault="004218A8">
      <w:pPr>
        <w:pStyle w:val="afffff2"/>
        <w:ind w:firstLine="420"/>
      </w:pPr>
      <w:r>
        <w:rPr>
          <w:rFonts w:hint="eastAsia"/>
        </w:rPr>
        <w:t>采供血风险管理方针的主要包括以下内容：</w:t>
      </w:r>
    </w:p>
    <w:p w14:paraId="3271AFDF" w14:textId="77777777" w:rsidR="0027503A" w:rsidRDefault="004218A8">
      <w:pPr>
        <w:pStyle w:val="af5"/>
      </w:pPr>
      <w:r>
        <w:rPr>
          <w:rFonts w:hint="eastAsia"/>
        </w:rPr>
        <w:t>血站最高管理者对风险管理的承诺；</w:t>
      </w:r>
    </w:p>
    <w:p w14:paraId="4E74CB30" w14:textId="77777777" w:rsidR="0027503A" w:rsidRDefault="004218A8">
      <w:pPr>
        <w:pStyle w:val="af5"/>
      </w:pPr>
      <w:r>
        <w:rPr>
          <w:rFonts w:hint="eastAsia"/>
        </w:rPr>
        <w:t>风险管理的目标；</w:t>
      </w:r>
    </w:p>
    <w:p w14:paraId="71A3CDB8" w14:textId="77777777" w:rsidR="0027503A" w:rsidRDefault="004218A8">
      <w:pPr>
        <w:pStyle w:val="af5"/>
      </w:pPr>
      <w:r>
        <w:rPr>
          <w:rFonts w:hint="eastAsia"/>
        </w:rPr>
        <w:t>风险管理的职责分配；</w:t>
      </w:r>
    </w:p>
    <w:p w14:paraId="34181184" w14:textId="77777777" w:rsidR="0027503A" w:rsidRDefault="004218A8">
      <w:pPr>
        <w:pStyle w:val="af5"/>
      </w:pPr>
      <w:r>
        <w:rPr>
          <w:rFonts w:hint="eastAsia"/>
        </w:rPr>
        <w:lastRenderedPageBreak/>
        <w:t>风险管理的程序和方法；</w:t>
      </w:r>
    </w:p>
    <w:p w14:paraId="1A64D098" w14:textId="77777777" w:rsidR="0027503A" w:rsidRDefault="004218A8">
      <w:pPr>
        <w:pStyle w:val="af5"/>
      </w:pPr>
      <w:r>
        <w:rPr>
          <w:rFonts w:hint="eastAsia"/>
        </w:rPr>
        <w:t>风险管理的资源配置；</w:t>
      </w:r>
    </w:p>
    <w:p w14:paraId="28A31051" w14:textId="77777777" w:rsidR="0027503A" w:rsidRDefault="004218A8">
      <w:pPr>
        <w:pStyle w:val="af5"/>
      </w:pPr>
      <w:r>
        <w:rPr>
          <w:rFonts w:hint="eastAsia"/>
        </w:rPr>
        <w:t>风险管理绩效的测量和报告方式；</w:t>
      </w:r>
    </w:p>
    <w:p w14:paraId="12B5B6A4" w14:textId="77777777" w:rsidR="0027503A" w:rsidRDefault="004218A8">
      <w:pPr>
        <w:pStyle w:val="af5"/>
      </w:pPr>
      <w:r>
        <w:rPr>
          <w:rFonts w:hint="eastAsia"/>
        </w:rPr>
        <w:t>风险管理体系计划；</w:t>
      </w:r>
    </w:p>
    <w:p w14:paraId="602C626E" w14:textId="77777777" w:rsidR="0027503A" w:rsidRDefault="004218A8">
      <w:pPr>
        <w:pStyle w:val="af5"/>
      </w:pPr>
      <w:r>
        <w:rPr>
          <w:rFonts w:hint="eastAsia"/>
        </w:rPr>
        <w:t>持续改进的承诺。</w:t>
      </w:r>
    </w:p>
    <w:p w14:paraId="21C90049" w14:textId="77777777" w:rsidR="0027503A" w:rsidRDefault="004218A8">
      <w:pPr>
        <w:ind w:firstLineChars="200" w:firstLine="420"/>
      </w:pPr>
      <w:r>
        <w:rPr>
          <w:rFonts w:hint="eastAsia"/>
        </w:rPr>
        <w:t>血站应就采供血风险管理方针同内部各部门、利益相关方进行充分沟通。</w:t>
      </w:r>
    </w:p>
    <w:p w14:paraId="371CC0B2" w14:textId="77777777" w:rsidR="0027503A" w:rsidRDefault="004218A8">
      <w:pPr>
        <w:pStyle w:val="afff0"/>
        <w:spacing w:before="156" w:after="156"/>
      </w:pPr>
      <w:bookmarkStart w:id="79" w:name="_Toc138251866"/>
      <w:r>
        <w:rPr>
          <w:rFonts w:hint="eastAsia"/>
        </w:rPr>
        <w:t>建立组织结构</w:t>
      </w:r>
      <w:bookmarkEnd w:id="79"/>
    </w:p>
    <w:p w14:paraId="65192DC6" w14:textId="77777777" w:rsidR="0027503A" w:rsidRDefault="004218A8">
      <w:pPr>
        <w:ind w:firstLineChars="200" w:firstLine="420"/>
      </w:pPr>
      <w:r>
        <w:rPr>
          <w:rFonts w:hint="eastAsia"/>
        </w:rPr>
        <w:t>血站应建立采供血风险管理组织结构，明确风险管理的职责和授权，主要包括以下内容：</w:t>
      </w:r>
    </w:p>
    <w:p w14:paraId="11FDFF37" w14:textId="77777777" w:rsidR="0027503A" w:rsidRDefault="004218A8">
      <w:pPr>
        <w:pStyle w:val="af5"/>
      </w:pPr>
      <w:r>
        <w:rPr>
          <w:rFonts w:hint="eastAsia"/>
        </w:rPr>
        <w:t>风险管理体系的建立、实施和维护人员的职责；</w:t>
      </w:r>
    </w:p>
    <w:p w14:paraId="5834A53D" w14:textId="77777777" w:rsidR="0027503A" w:rsidRDefault="004218A8">
      <w:pPr>
        <w:pStyle w:val="af5"/>
      </w:pPr>
      <w:r>
        <w:rPr>
          <w:rFonts w:hint="eastAsia"/>
        </w:rPr>
        <w:t>报告相关风险信息、实施风险应对措施人员的职责；</w:t>
      </w:r>
    </w:p>
    <w:p w14:paraId="76B40134" w14:textId="77777777" w:rsidR="0027503A" w:rsidRDefault="004218A8">
      <w:pPr>
        <w:pStyle w:val="af5"/>
      </w:pPr>
      <w:r>
        <w:rPr>
          <w:rFonts w:hint="eastAsia"/>
        </w:rPr>
        <w:t>批准和授权制度；</w:t>
      </w:r>
    </w:p>
    <w:p w14:paraId="729F253E" w14:textId="77777777" w:rsidR="0027503A" w:rsidRDefault="004218A8">
      <w:pPr>
        <w:pStyle w:val="af5"/>
      </w:pPr>
      <w:r>
        <w:rPr>
          <w:rFonts w:hint="eastAsia"/>
        </w:rPr>
        <w:t>绩效测量制度；</w:t>
      </w:r>
    </w:p>
    <w:p w14:paraId="5E64B761" w14:textId="77777777" w:rsidR="0027503A" w:rsidRDefault="004218A8">
      <w:pPr>
        <w:pStyle w:val="af5"/>
      </w:pPr>
      <w:r>
        <w:rPr>
          <w:rFonts w:hint="eastAsia"/>
        </w:rPr>
        <w:t>对内、外部相关方的报告制度等。</w:t>
      </w:r>
    </w:p>
    <w:p w14:paraId="58DBE7D1" w14:textId="77777777" w:rsidR="0027503A" w:rsidRDefault="004218A8">
      <w:pPr>
        <w:pStyle w:val="afff0"/>
        <w:spacing w:before="156" w:after="156"/>
      </w:pPr>
      <w:bookmarkStart w:id="80" w:name="_Toc138251867"/>
      <w:r>
        <w:rPr>
          <w:rFonts w:hint="eastAsia"/>
        </w:rPr>
        <w:t>资源配置</w:t>
      </w:r>
      <w:bookmarkEnd w:id="80"/>
    </w:p>
    <w:p w14:paraId="07592621" w14:textId="77777777" w:rsidR="0027503A" w:rsidRDefault="004218A8">
      <w:pPr>
        <w:ind w:firstLineChars="200" w:firstLine="420"/>
      </w:pPr>
      <w:r>
        <w:rPr>
          <w:rFonts w:hint="eastAsia"/>
        </w:rPr>
        <w:t>血站应根据采供血风险管理计划为风险管理配备适当的资源，资源配置宜考虑以下因素：</w:t>
      </w:r>
    </w:p>
    <w:p w14:paraId="0218745E" w14:textId="77777777" w:rsidR="0027503A" w:rsidRDefault="004218A8">
      <w:pPr>
        <w:pStyle w:val="af5"/>
      </w:pPr>
      <w:r>
        <w:rPr>
          <w:rFonts w:hint="eastAsia"/>
        </w:rPr>
        <w:t>人员的技术、经验和能力；</w:t>
      </w:r>
    </w:p>
    <w:p w14:paraId="7F34EC59" w14:textId="77777777" w:rsidR="0027503A" w:rsidRDefault="004218A8">
      <w:pPr>
        <w:pStyle w:val="af5"/>
      </w:pPr>
      <w:r>
        <w:rPr>
          <w:rFonts w:hint="eastAsia"/>
        </w:rPr>
        <w:t>风险管理过程所需要的资金和资源；</w:t>
      </w:r>
    </w:p>
    <w:p w14:paraId="2C5C0700" w14:textId="77777777" w:rsidR="0027503A" w:rsidRDefault="004218A8">
      <w:pPr>
        <w:pStyle w:val="af5"/>
      </w:pPr>
      <w:r>
        <w:rPr>
          <w:rFonts w:hint="eastAsia"/>
        </w:rPr>
        <w:t>信息和数据管理系统。</w:t>
      </w:r>
    </w:p>
    <w:p w14:paraId="61854E5C" w14:textId="77777777" w:rsidR="0027503A" w:rsidRDefault="004218A8">
      <w:pPr>
        <w:pStyle w:val="afff0"/>
        <w:spacing w:before="156" w:after="156"/>
      </w:pPr>
      <w:bookmarkStart w:id="81" w:name="_Toc138251868"/>
      <w:r>
        <w:rPr>
          <w:rFonts w:hint="eastAsia"/>
        </w:rPr>
        <w:t>沟通和报告</w:t>
      </w:r>
      <w:bookmarkEnd w:id="81"/>
    </w:p>
    <w:p w14:paraId="521C0493" w14:textId="77777777" w:rsidR="0027503A" w:rsidRDefault="004218A8">
      <w:pPr>
        <w:pStyle w:val="afff1"/>
        <w:spacing w:before="156" w:after="156"/>
      </w:pPr>
      <w:r>
        <w:rPr>
          <w:rFonts w:hint="eastAsia"/>
        </w:rPr>
        <w:t>内部沟通和报告</w:t>
      </w:r>
    </w:p>
    <w:p w14:paraId="17E85D7C" w14:textId="77777777" w:rsidR="0027503A" w:rsidRDefault="004218A8">
      <w:pPr>
        <w:pStyle w:val="afffff2"/>
        <w:ind w:firstLine="420"/>
      </w:pPr>
      <w:r>
        <w:rPr>
          <w:rFonts w:hint="eastAsia"/>
        </w:rPr>
        <w:t>血站应建立内部沟通和报告制度，及时提供风险管理的相关信息，报告风险应对计划的实施效果，确保采供血风险管理体系的实施和调整过程得到充分沟通。</w:t>
      </w:r>
    </w:p>
    <w:p w14:paraId="48572EF8" w14:textId="77777777" w:rsidR="0027503A" w:rsidRDefault="004218A8">
      <w:pPr>
        <w:pStyle w:val="afff1"/>
        <w:spacing w:before="156" w:after="156"/>
      </w:pPr>
      <w:r>
        <w:rPr>
          <w:rFonts w:hint="eastAsia"/>
        </w:rPr>
        <w:t>外部沟通和报告</w:t>
      </w:r>
    </w:p>
    <w:p w14:paraId="6533CC1D" w14:textId="60B3D0C6" w:rsidR="0027503A" w:rsidRDefault="004218A8" w:rsidP="00E6531C">
      <w:pPr>
        <w:pStyle w:val="afffff2"/>
        <w:ind w:firstLine="420"/>
        <w:rPr>
          <w:spacing w:val="105"/>
        </w:rPr>
      </w:pPr>
      <w:r>
        <w:rPr>
          <w:rFonts w:hint="eastAsia"/>
        </w:rPr>
        <w:t>血站应建立与利益相关方的沟通机制，保证血站符合现行法律、法规和血站管理的要求。在发生突发事件和紧急状况时，宜与利益相关方进行有效沟通。</w:t>
      </w:r>
      <w:bookmarkStart w:id="82" w:name="_Toc138251870"/>
      <w:bookmarkStart w:id="83" w:name="BookMark6"/>
      <w:bookmarkEnd w:id="32"/>
    </w:p>
    <w:p w14:paraId="0F2A62E8" w14:textId="77777777" w:rsidR="0027503A" w:rsidRDefault="0027503A">
      <w:pPr>
        <w:rPr>
          <w:spacing w:val="105"/>
        </w:rPr>
      </w:pPr>
    </w:p>
    <w:p w14:paraId="6821271C" w14:textId="77777777" w:rsidR="0027503A" w:rsidRDefault="0027503A">
      <w:pPr>
        <w:rPr>
          <w:spacing w:val="105"/>
        </w:rPr>
      </w:pPr>
    </w:p>
    <w:p w14:paraId="5AE64C4A" w14:textId="77777777" w:rsidR="0027503A" w:rsidRDefault="0027503A">
      <w:pPr>
        <w:rPr>
          <w:spacing w:val="105"/>
        </w:rPr>
      </w:pPr>
    </w:p>
    <w:p w14:paraId="50099B08" w14:textId="291ADDDB" w:rsidR="00E6531C" w:rsidRDefault="00E6531C">
      <w:pPr>
        <w:widowControl/>
        <w:adjustRightInd/>
        <w:spacing w:line="240" w:lineRule="auto"/>
        <w:jc w:val="left"/>
        <w:rPr>
          <w:spacing w:val="105"/>
        </w:rPr>
      </w:pPr>
      <w:r>
        <w:rPr>
          <w:spacing w:val="105"/>
        </w:rPr>
        <w:br w:type="page"/>
      </w:r>
    </w:p>
    <w:p w14:paraId="1B8D6E2E" w14:textId="77777777" w:rsidR="0027503A" w:rsidRDefault="004218A8">
      <w:pPr>
        <w:pStyle w:val="afffff9"/>
        <w:spacing w:after="156"/>
      </w:pPr>
      <w:bookmarkStart w:id="84" w:name="_Toc25788"/>
      <w:r>
        <w:rPr>
          <w:rFonts w:hint="eastAsia"/>
          <w:spacing w:val="105"/>
        </w:rPr>
        <w:lastRenderedPageBreak/>
        <w:t>参考文</w:t>
      </w:r>
      <w:r>
        <w:rPr>
          <w:rFonts w:hint="eastAsia"/>
        </w:rPr>
        <w:t>献</w:t>
      </w:r>
      <w:bookmarkEnd w:id="82"/>
      <w:bookmarkEnd w:id="84"/>
    </w:p>
    <w:p w14:paraId="1BC8A03F" w14:textId="63FEA17C" w:rsidR="0027503A" w:rsidRDefault="004218A8">
      <w:pPr>
        <w:ind w:firstLineChars="200" w:firstLine="420"/>
        <w:jc w:val="left"/>
        <w:rPr>
          <w:rFonts w:ascii="宋体" w:hAnsi="宋体" w:cs="宋体"/>
          <w:bCs/>
          <w:color w:val="000000"/>
        </w:rPr>
      </w:pPr>
      <w:r>
        <w:rPr>
          <w:rFonts w:ascii="宋体" w:hAnsi="宋体" w:cs="宋体" w:hint="eastAsia"/>
          <w:bCs/>
          <w:color w:val="000000"/>
        </w:rPr>
        <w:t xml:space="preserve">[1] </w:t>
      </w:r>
      <w:r>
        <w:rPr>
          <w:rFonts w:ascii="宋体" w:hAnsi="宋体" w:hint="eastAsia"/>
          <w:color w:val="000000"/>
          <w:kern w:val="0"/>
        </w:rPr>
        <w:t>GB/T 24353</w:t>
      </w:r>
      <w:r w:rsidR="00BC2F67">
        <w:rPr>
          <w:rFonts w:ascii="宋体" w:hAnsi="宋体" w:hint="eastAsia"/>
          <w:color w:val="000000"/>
          <w:kern w:val="0"/>
        </w:rPr>
        <w:t>—</w:t>
      </w:r>
      <w:r>
        <w:rPr>
          <w:rFonts w:ascii="宋体" w:hAnsi="宋体" w:hint="eastAsia"/>
          <w:color w:val="000000"/>
          <w:kern w:val="0"/>
        </w:rPr>
        <w:t xml:space="preserve">2009 </w:t>
      </w:r>
      <w:r>
        <w:rPr>
          <w:rFonts w:ascii="宋体" w:hAnsi="宋体" w:cs="宋体" w:hint="eastAsia"/>
          <w:bCs/>
          <w:color w:val="000000"/>
        </w:rPr>
        <w:t>风险管理</w:t>
      </w:r>
      <w:r>
        <w:rPr>
          <w:rFonts w:ascii="宋体" w:hAnsi="宋体" w:cs="宋体" w:hint="eastAsia"/>
          <w:bCs/>
          <w:color w:val="000000"/>
        </w:rPr>
        <w:t xml:space="preserve"> </w:t>
      </w:r>
      <w:r>
        <w:rPr>
          <w:rFonts w:ascii="宋体" w:hAnsi="宋体" w:cs="宋体" w:hint="eastAsia"/>
          <w:bCs/>
          <w:color w:val="000000"/>
        </w:rPr>
        <w:t>原则与实施指南</w:t>
      </w:r>
    </w:p>
    <w:p w14:paraId="7AB859F0" w14:textId="3F7C2489" w:rsidR="0027503A" w:rsidRDefault="004218A8">
      <w:pPr>
        <w:ind w:firstLineChars="200" w:firstLine="420"/>
        <w:jc w:val="left"/>
        <w:rPr>
          <w:rFonts w:ascii="宋体" w:hAnsi="宋体" w:cs="宋体"/>
          <w:bCs/>
          <w:color w:val="000000"/>
        </w:rPr>
      </w:pPr>
      <w:r>
        <w:rPr>
          <w:rFonts w:ascii="宋体" w:hAnsi="宋体" w:hint="eastAsia"/>
          <w:color w:val="000000"/>
          <w:kern w:val="0"/>
        </w:rPr>
        <w:t>[2] GB/T 27921</w:t>
      </w:r>
      <w:r w:rsidR="00BC2F67">
        <w:rPr>
          <w:rFonts w:ascii="宋体" w:hAnsi="宋体" w:hint="eastAsia"/>
          <w:color w:val="000000"/>
          <w:kern w:val="0"/>
        </w:rPr>
        <w:t>—</w:t>
      </w:r>
      <w:r>
        <w:rPr>
          <w:rFonts w:ascii="宋体" w:hAnsi="宋体" w:hint="eastAsia"/>
          <w:color w:val="000000"/>
          <w:kern w:val="0"/>
        </w:rPr>
        <w:t xml:space="preserve">2011 </w:t>
      </w:r>
      <w:r>
        <w:rPr>
          <w:rFonts w:ascii="宋体" w:hAnsi="宋体" w:cs="宋体" w:hint="eastAsia"/>
          <w:bCs/>
          <w:color w:val="000000"/>
        </w:rPr>
        <w:t>风险管理</w:t>
      </w:r>
      <w:r>
        <w:rPr>
          <w:rFonts w:ascii="宋体" w:hAnsi="宋体" w:cs="宋体" w:hint="eastAsia"/>
          <w:bCs/>
          <w:color w:val="000000"/>
        </w:rPr>
        <w:t xml:space="preserve"> </w:t>
      </w:r>
      <w:r>
        <w:rPr>
          <w:rFonts w:ascii="宋体" w:hAnsi="宋体" w:cs="宋体" w:hint="eastAsia"/>
          <w:bCs/>
          <w:color w:val="000000"/>
        </w:rPr>
        <w:t>风险评估技术</w:t>
      </w:r>
    </w:p>
    <w:p w14:paraId="0D5F5037" w14:textId="47CA7B6B" w:rsidR="0027503A" w:rsidRDefault="004218A8">
      <w:pPr>
        <w:widowControl/>
        <w:ind w:firstLineChars="200" w:firstLine="420"/>
        <w:jc w:val="left"/>
        <w:rPr>
          <w:rFonts w:ascii="宋体" w:hAnsi="宋体" w:cs="宋体"/>
          <w:bCs/>
          <w:color w:val="000000"/>
        </w:rPr>
      </w:pPr>
      <w:r>
        <w:rPr>
          <w:rFonts w:ascii="宋体" w:hAnsi="宋体" w:hint="eastAsia"/>
          <w:color w:val="000000"/>
          <w:kern w:val="0"/>
        </w:rPr>
        <w:t xml:space="preserve">[3] </w:t>
      </w:r>
      <w:r>
        <w:rPr>
          <w:rFonts w:ascii="宋体" w:hAnsi="宋体"/>
          <w:color w:val="000000"/>
          <w:kern w:val="0"/>
          <w:lang w:bidi="ar"/>
        </w:rPr>
        <w:t>T/CSBT 001</w:t>
      </w:r>
      <w:r w:rsidR="00BC2F67">
        <w:rPr>
          <w:rFonts w:ascii="宋体" w:hAnsi="宋体" w:hint="eastAsia"/>
          <w:color w:val="000000"/>
          <w:kern w:val="0"/>
        </w:rPr>
        <w:t>—</w:t>
      </w:r>
      <w:r>
        <w:rPr>
          <w:rFonts w:ascii="宋体" w:hAnsi="宋体" w:hint="eastAsia"/>
          <w:color w:val="000000"/>
          <w:kern w:val="0"/>
          <w:lang w:bidi="ar"/>
        </w:rPr>
        <w:t xml:space="preserve">2019 </w:t>
      </w:r>
      <w:r>
        <w:rPr>
          <w:rFonts w:ascii="宋体" w:hAnsi="宋体" w:hint="eastAsia"/>
          <w:color w:val="000000"/>
          <w:kern w:val="0"/>
          <w:lang w:bidi="ar"/>
        </w:rPr>
        <w:t>血液安全监测指南</w:t>
      </w:r>
    </w:p>
    <w:p w14:paraId="1C95038F" w14:textId="77777777" w:rsidR="0027503A" w:rsidRDefault="004218A8">
      <w:pPr>
        <w:widowControl/>
        <w:ind w:firstLineChars="200" w:firstLine="420"/>
        <w:jc w:val="left"/>
        <w:rPr>
          <w:rFonts w:ascii="宋体" w:hAnsi="宋体"/>
          <w:color w:val="000000"/>
          <w:kern w:val="0"/>
          <w:lang w:bidi="ar"/>
        </w:rPr>
      </w:pPr>
      <w:r>
        <w:rPr>
          <w:rFonts w:ascii="宋体" w:hAnsi="宋体" w:hint="eastAsia"/>
          <w:color w:val="000000"/>
          <w:kern w:val="0"/>
          <w:lang w:bidi="ar"/>
        </w:rPr>
        <w:t xml:space="preserve">[4] </w:t>
      </w:r>
      <w:r>
        <w:rPr>
          <w:rFonts w:ascii="宋体" w:hAnsi="宋体" w:hint="eastAsia"/>
          <w:color w:val="000000"/>
          <w:kern w:val="0"/>
          <w:lang w:bidi="ar"/>
        </w:rPr>
        <w:t>血站质量管理规范</w:t>
      </w:r>
      <w:r>
        <w:rPr>
          <w:rFonts w:ascii="宋体" w:hAnsi="宋体" w:hint="eastAsia"/>
          <w:color w:val="000000"/>
          <w:kern w:val="0"/>
          <w:lang w:bidi="ar"/>
        </w:rPr>
        <w:t>.</w:t>
      </w:r>
      <w:r>
        <w:rPr>
          <w:rFonts w:ascii="宋体" w:hAnsi="宋体" w:hint="eastAsia"/>
          <w:color w:val="000000"/>
          <w:kern w:val="0"/>
          <w:lang w:bidi="ar"/>
        </w:rPr>
        <w:t>卫</w:t>
      </w:r>
      <w:proofErr w:type="gramStart"/>
      <w:r>
        <w:rPr>
          <w:rFonts w:ascii="宋体" w:hAnsi="宋体" w:hint="eastAsia"/>
          <w:color w:val="000000"/>
          <w:kern w:val="0"/>
          <w:lang w:bidi="ar"/>
        </w:rPr>
        <w:t>医</w:t>
      </w:r>
      <w:proofErr w:type="gramEnd"/>
      <w:r>
        <w:rPr>
          <w:rFonts w:ascii="宋体" w:hAnsi="宋体" w:hint="eastAsia"/>
          <w:color w:val="000000"/>
          <w:kern w:val="0"/>
          <w:lang w:bidi="ar"/>
        </w:rPr>
        <w:t>发</w:t>
      </w:r>
      <w:r>
        <w:rPr>
          <w:rFonts w:ascii="宋体" w:hAnsi="宋体" w:hint="eastAsia"/>
          <w:color w:val="000000"/>
          <w:kern w:val="0"/>
          <w:lang w:bidi="ar"/>
        </w:rPr>
        <w:t>[2006]167</w:t>
      </w:r>
      <w:r>
        <w:rPr>
          <w:rFonts w:ascii="宋体" w:hAnsi="宋体" w:hint="eastAsia"/>
          <w:color w:val="000000"/>
          <w:kern w:val="0"/>
          <w:lang w:bidi="ar"/>
        </w:rPr>
        <w:t>号</w:t>
      </w:r>
    </w:p>
    <w:p w14:paraId="1BB6338F" w14:textId="77777777" w:rsidR="0027503A" w:rsidRDefault="0027503A">
      <w:pPr>
        <w:pStyle w:val="afffff2"/>
        <w:ind w:firstLine="420"/>
      </w:pPr>
    </w:p>
    <w:p w14:paraId="37E4A7AD" w14:textId="77777777" w:rsidR="0027503A" w:rsidRDefault="0027503A">
      <w:pPr>
        <w:pStyle w:val="afffff2"/>
        <w:ind w:firstLine="420"/>
      </w:pPr>
    </w:p>
    <w:p w14:paraId="5A017090" w14:textId="77777777" w:rsidR="0027503A" w:rsidRDefault="0027503A">
      <w:pPr>
        <w:pStyle w:val="afffff2"/>
        <w:ind w:firstLine="420"/>
      </w:pPr>
    </w:p>
    <w:p w14:paraId="0448208E" w14:textId="77777777" w:rsidR="0027503A" w:rsidRDefault="0027503A">
      <w:pPr>
        <w:pStyle w:val="afffff2"/>
        <w:ind w:firstLine="420"/>
      </w:pPr>
    </w:p>
    <w:p w14:paraId="5E158BB3" w14:textId="2E5E1737" w:rsidR="0027503A" w:rsidRDefault="00BC2F67" w:rsidP="00BC2F67">
      <w:pPr>
        <w:pStyle w:val="afffff2"/>
        <w:ind w:firstLine="420"/>
        <w:jc w:val="center"/>
      </w:pPr>
      <w:bookmarkStart w:id="85" w:name="BookMark8"/>
      <w:bookmarkEnd w:id="83"/>
      <w:r>
        <w:rPr>
          <w:noProof/>
          <w:color w:val="000000" w:themeColor="text1"/>
        </w:rPr>
        <w:drawing>
          <wp:inline distT="0" distB="0" distL="0" distR="0" wp14:anchorId="6AAD6F38" wp14:editId="1A90BA2C">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5"/>
    </w:p>
    <w:sectPr w:rsidR="0027503A">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2EDCB1" w14:textId="77777777" w:rsidR="004218A8" w:rsidRDefault="004218A8">
      <w:pPr>
        <w:spacing w:line="240" w:lineRule="auto"/>
      </w:pPr>
      <w:r>
        <w:separator/>
      </w:r>
    </w:p>
  </w:endnote>
  <w:endnote w:type="continuationSeparator" w:id="0">
    <w:p w14:paraId="60F413FC" w14:textId="77777777" w:rsidR="004218A8" w:rsidRDefault="004218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3985A7" w14:textId="77777777" w:rsidR="0027503A" w:rsidRDefault="004218A8">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BE513" w14:textId="77777777" w:rsidR="0027503A" w:rsidRDefault="0027503A">
    <w:pPr>
      <w:pStyle w:val="aff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A6564B" w14:textId="77777777" w:rsidR="0027503A" w:rsidRDefault="0027503A">
    <w:pPr>
      <w:pStyle w:val="affff"/>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50E1A8" w14:textId="77777777" w:rsidR="0027503A" w:rsidRDefault="004218A8">
    <w:pPr>
      <w:pStyle w:val="afffff"/>
    </w:pPr>
    <w:r>
      <w:fldChar w:fldCharType="begin"/>
    </w:r>
    <w:r>
      <w:instrText>PAGE   \* MERGEFORMAT</w:instrText>
    </w:r>
    <w:r>
      <w:fldChar w:fldCharType="separate"/>
    </w:r>
    <w:r w:rsidR="00BC2F67" w:rsidRPr="00BC2F67">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981433" w14:textId="77777777" w:rsidR="004218A8" w:rsidRDefault="004218A8">
      <w:pPr>
        <w:spacing w:line="240" w:lineRule="auto"/>
      </w:pPr>
      <w:r>
        <w:separator/>
      </w:r>
    </w:p>
  </w:footnote>
  <w:footnote w:type="continuationSeparator" w:id="0">
    <w:p w14:paraId="32D408AD" w14:textId="77777777" w:rsidR="004218A8" w:rsidRDefault="004218A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CDF692" w14:textId="77777777" w:rsidR="0027503A" w:rsidRDefault="0027503A">
    <w:pPr>
      <w:pStyle w:val="aff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29A802" w14:textId="77777777" w:rsidR="0027503A" w:rsidRDefault="004218A8">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ED33C8" w14:textId="77777777" w:rsidR="0027503A" w:rsidRDefault="0027503A">
    <w:pPr>
      <w:pStyle w:val="affff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941BB0" w14:textId="77777777" w:rsidR="0027503A" w:rsidRDefault="004218A8">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1260B3" w14:textId="51666725" w:rsidR="0027503A" w:rsidRDefault="004218A8">
    <w:pPr>
      <w:pStyle w:val="afffff7"/>
    </w:pPr>
    <w:r>
      <w:fldChar w:fldCharType="begin"/>
    </w:r>
    <w:r>
      <w:instrText xml:space="preserve"> STYLEREF  </w:instrText>
    </w:r>
    <w:r>
      <w:instrText>标准文件</w:instrText>
    </w:r>
    <w:r>
      <w:instrText>_</w:instrText>
    </w:r>
    <w:r>
      <w:instrText>文件编号</w:instrText>
    </w:r>
    <w:r>
      <w:instrText xml:space="preserve"> </w:instrText>
    </w:r>
    <w:r>
      <w:instrText xml:space="preserve"> \* MERGEFORMAT </w:instrText>
    </w:r>
    <w:r>
      <w:fldChar w:fldCharType="separate"/>
    </w:r>
    <w:r w:rsidR="00BC2F67">
      <w:rPr>
        <w:noProof/>
      </w:rPr>
      <w:t>DB XX/T XXXX</w:t>
    </w:r>
    <w:r w:rsidR="00BC2F67">
      <w:rPr>
        <w:noProof/>
      </w:rPr>
      <w:t>—</w:t>
    </w:r>
    <w:r w:rsidR="00BC2F67">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pStyle w:val="ae"/>
      <w:lvlText w:val="%2)"/>
      <w:lvlJc w:val="left"/>
      <w:pPr>
        <w:tabs>
          <w:tab w:val="left" w:pos="840"/>
        </w:tabs>
        <w:ind w:left="840" w:hanging="420"/>
      </w:pPr>
    </w:lvl>
    <w:lvl w:ilvl="2">
      <w:start w:val="1"/>
      <w:numFmt w:val="lowerRoman"/>
      <w:pStyle w:val="af"/>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1"/>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lowerLetter"/>
      <w:pStyle w:val="af4"/>
      <w:lvlText w:val="%4)"/>
      <w:lvlJc w:val="left"/>
      <w:pPr>
        <w:ind w:left="710" w:firstLine="0"/>
      </w:pPr>
      <w:rPr>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5"/>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7"/>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8"/>
      <w:lvlText w:val="%1)"/>
      <w:lvlJc w:val="left"/>
      <w:pPr>
        <w:tabs>
          <w:tab w:val="left" w:pos="851"/>
        </w:tabs>
        <w:ind w:left="851" w:hanging="426"/>
      </w:pPr>
      <w:rPr>
        <w:rFonts w:ascii="宋体" w:eastAsia="宋体" w:hAnsi="Times New Roman" w:hint="eastAsia"/>
        <w:sz w:val="21"/>
      </w:rPr>
    </w:lvl>
    <w:lvl w:ilvl="1">
      <w:start w:val="1"/>
      <w:numFmt w:val="decimal"/>
      <w:pStyle w:val="af9"/>
      <w:lvlText w:val="%2)"/>
      <w:lvlJc w:val="left"/>
      <w:pPr>
        <w:tabs>
          <w:tab w:val="left"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3"/>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4"/>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5"/>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c"/>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1"/>
      <w:suff w:val="nothing"/>
      <w:lvlText w:val="%1%2.%3.%4　"/>
      <w:lvlJc w:val="left"/>
      <w:pPr>
        <w:ind w:left="0"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7"/>
      <w:lvlText w:val="%1——"/>
      <w:lvlJc w:val="left"/>
      <w:pPr>
        <w:tabs>
          <w:tab w:val="left" w:pos="511"/>
        </w:tabs>
        <w:ind w:left="1129"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WBvrTQrYgrCB1kxd4FfB1qSGunBBQodC2lLdDlrV1Ai2EQKkzON2ONVkusCMFAZ+qqgo6VHhiWNMks1wWR9APg==" w:salt="FzkiwywpznQxfmOlyFaLAg=="/>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FiOWFjYTdjMzZiZjk0YmNkYmIyN2IxODg4NWU5MTQifQ=="/>
  </w:docVars>
  <w:rsids>
    <w:rsidRoot w:val="00A332C4"/>
    <w:rsid w:val="0000040A"/>
    <w:rsid w:val="00000A94"/>
    <w:rsid w:val="00001972"/>
    <w:rsid w:val="00001D9A"/>
    <w:rsid w:val="00007B3A"/>
    <w:rsid w:val="000107E0"/>
    <w:rsid w:val="00010C36"/>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0F0F"/>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4951"/>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03A"/>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57B7"/>
    <w:rsid w:val="002F6EC7"/>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18A8"/>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6A07"/>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07F1"/>
    <w:rsid w:val="005220EC"/>
    <w:rsid w:val="00523F95"/>
    <w:rsid w:val="00524D65"/>
    <w:rsid w:val="00525B16"/>
    <w:rsid w:val="005268C7"/>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0BDC"/>
    <w:rsid w:val="007322D9"/>
    <w:rsid w:val="00732BC0"/>
    <w:rsid w:val="0073720F"/>
    <w:rsid w:val="00737796"/>
    <w:rsid w:val="007404A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3259"/>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5BA6"/>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2C4"/>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058"/>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2F67"/>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531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F60576"/>
    <w:rsid w:val="06C87045"/>
    <w:rsid w:val="086A7580"/>
    <w:rsid w:val="0A3D0833"/>
    <w:rsid w:val="10B31327"/>
    <w:rsid w:val="11534357"/>
    <w:rsid w:val="13D82509"/>
    <w:rsid w:val="14841A60"/>
    <w:rsid w:val="17C3523B"/>
    <w:rsid w:val="1B6F1962"/>
    <w:rsid w:val="1B9D0748"/>
    <w:rsid w:val="245D0B71"/>
    <w:rsid w:val="28F86CF0"/>
    <w:rsid w:val="3079504F"/>
    <w:rsid w:val="30893E07"/>
    <w:rsid w:val="36EE6907"/>
    <w:rsid w:val="388A5D51"/>
    <w:rsid w:val="3A9148D7"/>
    <w:rsid w:val="3C36527A"/>
    <w:rsid w:val="40F23A56"/>
    <w:rsid w:val="42504864"/>
    <w:rsid w:val="49514DAC"/>
    <w:rsid w:val="4A1513ED"/>
    <w:rsid w:val="4C1E5521"/>
    <w:rsid w:val="4C72630D"/>
    <w:rsid w:val="4E260E7E"/>
    <w:rsid w:val="5072133B"/>
    <w:rsid w:val="52B75DE8"/>
    <w:rsid w:val="52E52F93"/>
    <w:rsid w:val="553E39D7"/>
    <w:rsid w:val="57A427D2"/>
    <w:rsid w:val="5DF92EC2"/>
    <w:rsid w:val="625C3E2D"/>
    <w:rsid w:val="6292275E"/>
    <w:rsid w:val="64B45EE1"/>
    <w:rsid w:val="672C4F98"/>
    <w:rsid w:val="6DEF5F4A"/>
    <w:rsid w:val="7355201F"/>
    <w:rsid w:val="75DE4487"/>
    <w:rsid w:val="7B525DC5"/>
    <w:rsid w:val="7BD64309"/>
    <w:rsid w:val="7F247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9ADA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8"/>
    <w:next w:val="afff8"/>
    <w:link w:val="1Char"/>
    <w:qFormat/>
    <w:pPr>
      <w:keepNext/>
      <w:keepLines/>
      <w:spacing w:before="340" w:after="330" w:line="578" w:lineRule="auto"/>
      <w:outlineLvl w:val="0"/>
    </w:pPr>
    <w:rPr>
      <w:b/>
      <w:bCs/>
      <w:kern w:val="44"/>
      <w:sz w:val="44"/>
      <w:szCs w:val="44"/>
    </w:rPr>
  </w:style>
  <w:style w:type="paragraph" w:styleId="22">
    <w:name w:val="heading 2"/>
    <w:basedOn w:val="afff8"/>
    <w:next w:val="afff8"/>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pPr>
      <w:keepNext/>
      <w:keepLines/>
      <w:spacing w:before="260" w:after="260" w:line="416" w:lineRule="auto"/>
      <w:outlineLvl w:val="2"/>
    </w:pPr>
    <w:rPr>
      <w:b/>
      <w:bCs/>
      <w:sz w:val="32"/>
      <w:szCs w:val="32"/>
    </w:rPr>
  </w:style>
  <w:style w:type="paragraph" w:styleId="4">
    <w:name w:val="heading 4"/>
    <w:basedOn w:val="afff8"/>
    <w:next w:val="aff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uiPriority w:val="39"/>
    <w:unhideWhenUsed/>
    <w:qFormat/>
    <w:pPr>
      <w:tabs>
        <w:tab w:val="right" w:leader="dot" w:pos="9344"/>
      </w:tabs>
      <w:spacing w:line="300" w:lineRule="exact"/>
      <w:ind w:left="1259"/>
    </w:pPr>
    <w:rPr>
      <w:rFonts w:ascii="宋体"/>
    </w:rPr>
  </w:style>
  <w:style w:type="paragraph" w:styleId="afffc">
    <w:name w:val="Normal Indent"/>
    <w:basedOn w:val="afff8"/>
    <w:qFormat/>
    <w:pPr>
      <w:ind w:firstLine="420"/>
    </w:pPr>
  </w:style>
  <w:style w:type="paragraph" w:styleId="afffd">
    <w:name w:val="Body Text"/>
    <w:basedOn w:val="afff8"/>
    <w:link w:val="Char"/>
    <w:qFormat/>
    <w:pPr>
      <w:spacing w:after="120"/>
    </w:pPr>
  </w:style>
  <w:style w:type="paragraph" w:styleId="50">
    <w:name w:val="toc 5"/>
    <w:basedOn w:val="afff8"/>
    <w:next w:val="afff8"/>
    <w:uiPriority w:val="39"/>
    <w:unhideWhenUsed/>
    <w:qFormat/>
    <w:pPr>
      <w:ind w:left="839"/>
    </w:pPr>
    <w:rPr>
      <w:rFonts w:ascii="宋体"/>
    </w:rPr>
  </w:style>
  <w:style w:type="paragraph" w:styleId="30">
    <w:name w:val="toc 3"/>
    <w:basedOn w:val="afff8"/>
    <w:next w:val="afff8"/>
    <w:uiPriority w:val="39"/>
    <w:unhideWhenUsed/>
    <w:qFormat/>
    <w:pPr>
      <w:spacing w:line="300" w:lineRule="exact"/>
      <w:ind w:left="420"/>
    </w:pPr>
    <w:rPr>
      <w:rFonts w:ascii="宋体"/>
    </w:rPr>
  </w:style>
  <w:style w:type="paragraph" w:styleId="afffe">
    <w:name w:val="Balloon Text"/>
    <w:basedOn w:val="afff8"/>
    <w:link w:val="Char0"/>
    <w:uiPriority w:val="99"/>
    <w:semiHidden/>
    <w:unhideWhenUsed/>
    <w:qFormat/>
    <w:rPr>
      <w:sz w:val="18"/>
      <w:szCs w:val="18"/>
    </w:rPr>
  </w:style>
  <w:style w:type="paragraph" w:styleId="affff">
    <w:name w:val="footer"/>
    <w:basedOn w:val="afff8"/>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8"/>
    <w:link w:val="Char2"/>
    <w:uiPriority w:val="99"/>
    <w:qFormat/>
    <w:pPr>
      <w:tabs>
        <w:tab w:val="center" w:pos="4153"/>
        <w:tab w:val="right" w:pos="8306"/>
      </w:tabs>
      <w:adjustRightInd/>
      <w:snapToGrid w:val="0"/>
      <w:jc w:val="center"/>
    </w:pPr>
    <w:rPr>
      <w:sz w:val="18"/>
      <w:szCs w:val="18"/>
    </w:rPr>
  </w:style>
  <w:style w:type="paragraph" w:styleId="10">
    <w:name w:val="toc 1"/>
    <w:basedOn w:val="afff8"/>
    <w:next w:val="afff8"/>
    <w:uiPriority w:val="39"/>
    <w:unhideWhenUsed/>
    <w:qFormat/>
    <w:rPr>
      <w:rFonts w:ascii="宋体"/>
    </w:rPr>
  </w:style>
  <w:style w:type="paragraph" w:styleId="40">
    <w:name w:val="toc 4"/>
    <w:basedOn w:val="afff8"/>
    <w:next w:val="afff8"/>
    <w:uiPriority w:val="39"/>
    <w:unhideWhenUsed/>
    <w:qFormat/>
    <w:pPr>
      <w:tabs>
        <w:tab w:val="right" w:leader="dot" w:pos="9344"/>
      </w:tabs>
      <w:spacing w:line="300" w:lineRule="exact"/>
      <w:ind w:left="629"/>
    </w:pPr>
    <w:rPr>
      <w:rFonts w:ascii="宋体"/>
    </w:rPr>
  </w:style>
  <w:style w:type="paragraph" w:styleId="affff1">
    <w:name w:val="footnote text"/>
    <w:basedOn w:val="afff8"/>
    <w:next w:val="afff8"/>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uiPriority w:val="39"/>
    <w:unhideWhenUsed/>
    <w:qFormat/>
    <w:pPr>
      <w:spacing w:line="300" w:lineRule="exact"/>
      <w:ind w:left="1049"/>
    </w:pPr>
    <w:rPr>
      <w:rFonts w:ascii="宋体"/>
    </w:rPr>
  </w:style>
  <w:style w:type="paragraph" w:styleId="affff2">
    <w:name w:val="table of figures"/>
    <w:basedOn w:val="afff8"/>
    <w:next w:val="afff8"/>
    <w:semiHidden/>
    <w:qFormat/>
    <w:pPr>
      <w:adjustRightInd/>
      <w:spacing w:line="240" w:lineRule="auto"/>
      <w:jc w:val="left"/>
    </w:pPr>
    <w:rPr>
      <w:szCs w:val="24"/>
    </w:rPr>
  </w:style>
  <w:style w:type="paragraph" w:styleId="23">
    <w:name w:val="toc 2"/>
    <w:basedOn w:val="afff8"/>
    <w:next w:val="afff8"/>
    <w:uiPriority w:val="39"/>
    <w:unhideWhenUsed/>
    <w:qFormat/>
    <w:pPr>
      <w:tabs>
        <w:tab w:val="right" w:leader="dot" w:pos="9344"/>
      </w:tabs>
      <w:spacing w:line="300" w:lineRule="exact"/>
      <w:ind w:left="210"/>
    </w:pPr>
    <w:rPr>
      <w:rFonts w:ascii="宋体"/>
    </w:rPr>
  </w:style>
  <w:style w:type="paragraph" w:styleId="affff3">
    <w:name w:val="Title"/>
    <w:basedOn w:val="afff8"/>
    <w:link w:val="Char4"/>
    <w:qFormat/>
    <w:pPr>
      <w:spacing w:before="240" w:after="60"/>
      <w:jc w:val="center"/>
      <w:outlineLvl w:val="0"/>
    </w:pPr>
    <w:rPr>
      <w:rFonts w:ascii="Arial" w:hAnsi="Arial" w:cs="Arial"/>
      <w:b/>
      <w:bCs/>
      <w:sz w:val="32"/>
      <w:szCs w:val="32"/>
    </w:rPr>
  </w:style>
  <w:style w:type="table" w:styleId="affff4">
    <w:name w:val="Table Grid"/>
    <w:basedOn w:val="afffa"/>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FollowedHyperlink"/>
    <w:qFormat/>
    <w:rPr>
      <w:color w:val="800080"/>
      <w:u w:val="single"/>
    </w:rPr>
  </w:style>
  <w:style w:type="character" w:styleId="affff8">
    <w:name w:val="Emphasis"/>
    <w:uiPriority w:val="20"/>
    <w:qFormat/>
    <w:rPr>
      <w:i/>
      <w:iCs/>
    </w:rPr>
  </w:style>
  <w:style w:type="character" w:styleId="affff9">
    <w:name w:val="Hyperlink"/>
    <w:uiPriority w:val="99"/>
    <w:qFormat/>
    <w:rPr>
      <w:rFonts w:ascii="宋体" w:eastAsia="宋体" w:hAnsi="Times New Roman"/>
      <w:color w:val="auto"/>
      <w:spacing w:val="0"/>
      <w:w w:val="100"/>
      <w:position w:val="0"/>
      <w:sz w:val="21"/>
      <w:u w:val="none"/>
      <w:vertAlign w:val="baseline"/>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0"/>
    <w:uiPriority w:val="99"/>
    <w:qFormat/>
    <w:rPr>
      <w:kern w:val="2"/>
      <w:sz w:val="18"/>
      <w:szCs w:val="18"/>
    </w:rPr>
  </w:style>
  <w:style w:type="character" w:customStyle="1" w:styleId="Char1">
    <w:name w:val="页脚 Char"/>
    <w:link w:val="affff"/>
    <w:uiPriority w:val="99"/>
    <w:qFormat/>
    <w:rPr>
      <w:rFonts w:ascii="宋体"/>
      <w:kern w:val="2"/>
      <w:sz w:val="18"/>
      <w:szCs w:val="18"/>
    </w:rPr>
  </w:style>
  <w:style w:type="character" w:customStyle="1" w:styleId="Char0">
    <w:name w:val="批注框文本 Char"/>
    <w:link w:val="afffe"/>
    <w:uiPriority w:val="99"/>
    <w:semiHidden/>
    <w:qFormat/>
    <w:rPr>
      <w:kern w:val="2"/>
      <w:sz w:val="18"/>
      <w:szCs w:val="18"/>
    </w:rPr>
  </w:style>
  <w:style w:type="paragraph" w:styleId="affffb">
    <w:name w:val="Quote"/>
    <w:basedOn w:val="afff8"/>
    <w:next w:val="afff8"/>
    <w:link w:val="Char5"/>
    <w:uiPriority w:val="29"/>
    <w:qFormat/>
    <w:rPr>
      <w:i/>
      <w:iCs/>
      <w:color w:val="000000"/>
    </w:rPr>
  </w:style>
  <w:style w:type="character" w:customStyle="1" w:styleId="Char5">
    <w:name w:val="引用 Char"/>
    <w:link w:val="affffb"/>
    <w:uiPriority w:val="29"/>
    <w:qFormat/>
    <w:rPr>
      <w:i/>
      <w:iCs/>
      <w:color w:val="000000"/>
      <w:kern w:val="2"/>
      <w:sz w:val="21"/>
      <w:szCs w:val="21"/>
    </w:rPr>
  </w:style>
  <w:style w:type="character" w:customStyle="1" w:styleId="Char4">
    <w:name w:val="标题 Char"/>
    <w:link w:val="affff3"/>
    <w:qFormat/>
    <w:rPr>
      <w:rFonts w:ascii="Arial" w:hAnsi="Arial" w:cs="Arial"/>
      <w:b/>
      <w:bCs/>
      <w:kern w:val="2"/>
      <w:sz w:val="32"/>
      <w:szCs w:val="32"/>
    </w:rPr>
  </w:style>
  <w:style w:type="paragraph" w:customStyle="1" w:styleId="affffc">
    <w:name w:val="标准标志"/>
    <w:next w:val="afff8"/>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d">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e">
    <w:name w:val="标准文件_页脚偶数页"/>
    <w:qFormat/>
    <w:pPr>
      <w:ind w:left="198"/>
    </w:pPr>
    <w:rPr>
      <w:rFonts w:ascii="宋体"/>
      <w:sz w:val="18"/>
    </w:rPr>
  </w:style>
  <w:style w:type="paragraph" w:customStyle="1" w:styleId="afffff">
    <w:name w:val="标准文件_页脚奇数页"/>
    <w:qFormat/>
    <w:pPr>
      <w:ind w:right="227"/>
      <w:jc w:val="right"/>
    </w:pPr>
    <w:rPr>
      <w:rFonts w:ascii="宋体"/>
      <w:sz w:val="18"/>
    </w:rPr>
  </w:style>
  <w:style w:type="paragraph" w:customStyle="1" w:styleId="afffff0">
    <w:name w:val="标准书眉一"/>
    <w:qFormat/>
    <w:pPr>
      <w:jc w:val="both"/>
    </w:pPr>
  </w:style>
  <w:style w:type="paragraph" w:customStyle="1" w:styleId="ICS">
    <w:name w:val="标准文件_ICS"/>
    <w:basedOn w:val="afff8"/>
    <w:qFormat/>
    <w:pPr>
      <w:spacing w:line="0" w:lineRule="atLeast"/>
    </w:pPr>
    <w:rPr>
      <w:rFonts w:ascii="黑体" w:eastAsia="黑体" w:hAnsi="宋体"/>
    </w:rPr>
  </w:style>
  <w:style w:type="paragraph" w:customStyle="1" w:styleId="afffff1">
    <w:name w:val="标准文件_标准正文"/>
    <w:basedOn w:val="afff8"/>
    <w:next w:val="afffff2"/>
    <w:qFormat/>
    <w:pPr>
      <w:snapToGrid w:val="0"/>
      <w:ind w:firstLineChars="200" w:firstLine="200"/>
    </w:pPr>
    <w:rPr>
      <w:kern w:val="0"/>
    </w:rPr>
  </w:style>
  <w:style w:type="paragraph" w:customStyle="1" w:styleId="afffff2">
    <w:name w:val="标准文件_段"/>
    <w:link w:val="Char6"/>
    <w:qFormat/>
    <w:pPr>
      <w:autoSpaceDE w:val="0"/>
      <w:autoSpaceDN w:val="0"/>
      <w:ind w:firstLineChars="200" w:firstLine="200"/>
      <w:jc w:val="both"/>
    </w:pPr>
    <w:rPr>
      <w:rFonts w:ascii="宋体"/>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8"/>
    <w:qFormat/>
    <w:pPr>
      <w:jc w:val="center"/>
    </w:pPr>
    <w:rPr>
      <w:rFonts w:ascii="黑体" w:eastAsia="黑体"/>
      <w:kern w:val="0"/>
      <w:sz w:val="44"/>
    </w:rPr>
  </w:style>
  <w:style w:type="paragraph" w:customStyle="1" w:styleId="afffff5">
    <w:name w:val="标准文件_标准代替"/>
    <w:basedOn w:val="afff8"/>
    <w:next w:val="afff8"/>
    <w:qFormat/>
    <w:pPr>
      <w:spacing w:line="310" w:lineRule="exact"/>
      <w:jc w:val="right"/>
    </w:pPr>
    <w:rPr>
      <w:rFonts w:ascii="宋体" w:hAnsi="宋体"/>
      <w:kern w:val="0"/>
    </w:rPr>
  </w:style>
  <w:style w:type="paragraph" w:customStyle="1" w:styleId="afffff6">
    <w:name w:val="标准文件_标准名称标题"/>
    <w:basedOn w:val="afff8"/>
    <w:next w:val="afff8"/>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8"/>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8"/>
    <w:qFormat/>
    <w:pPr>
      <w:jc w:val="left"/>
    </w:pPr>
  </w:style>
  <w:style w:type="paragraph" w:customStyle="1" w:styleId="afffff9">
    <w:name w:val="标准文件_参考文献标题"/>
    <w:basedOn w:val="afff8"/>
    <w:next w:val="afff8"/>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1">
    <w:name w:val="标准文件_二级条标题"/>
    <w:next w:val="afffff2"/>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8"/>
    <w:next w:val="afffff5"/>
    <w:qFormat/>
    <w:pPr>
      <w:spacing w:line="310" w:lineRule="exact"/>
      <w:jc w:val="right"/>
    </w:pPr>
    <w:rPr>
      <w:rFonts w:ascii="黑体" w:eastAsia="黑体"/>
      <w:kern w:val="0"/>
      <w:sz w:val="28"/>
    </w:rPr>
  </w:style>
  <w:style w:type="paragraph" w:customStyle="1" w:styleId="afffffc">
    <w:name w:val="标准文件_封面标准分类号"/>
    <w:basedOn w:val="afff8"/>
    <w:qFormat/>
    <w:rPr>
      <w:rFonts w:ascii="黑体" w:eastAsia="黑体"/>
      <w:b/>
      <w:kern w:val="0"/>
      <w:sz w:val="28"/>
    </w:rPr>
  </w:style>
  <w:style w:type="paragraph" w:customStyle="1" w:styleId="afffffd">
    <w:name w:val="标准文件_封面标准名称"/>
    <w:basedOn w:val="afff8"/>
    <w:qFormat/>
    <w:pPr>
      <w:spacing w:line="240" w:lineRule="auto"/>
      <w:jc w:val="center"/>
    </w:pPr>
    <w:rPr>
      <w:rFonts w:ascii="黑体" w:eastAsia="黑体"/>
      <w:kern w:val="0"/>
      <w:sz w:val="52"/>
    </w:rPr>
  </w:style>
  <w:style w:type="paragraph" w:customStyle="1" w:styleId="afffffe">
    <w:name w:val="标准文件_封面标准英文名称"/>
    <w:basedOn w:val="afff8"/>
    <w:qFormat/>
    <w:pPr>
      <w:spacing w:line="240" w:lineRule="auto"/>
      <w:jc w:val="center"/>
    </w:pPr>
    <w:rPr>
      <w:rFonts w:ascii="黑体" w:eastAsia="黑体"/>
      <w:b/>
      <w:sz w:val="28"/>
    </w:rPr>
  </w:style>
  <w:style w:type="paragraph" w:customStyle="1" w:styleId="affffff">
    <w:name w:val="标准文件_封面发布日期"/>
    <w:basedOn w:val="afff8"/>
    <w:qFormat/>
    <w:pPr>
      <w:spacing w:line="310" w:lineRule="exact"/>
    </w:pPr>
    <w:rPr>
      <w:rFonts w:ascii="黑体" w:eastAsia="黑体"/>
      <w:kern w:val="0"/>
      <w:sz w:val="28"/>
    </w:rPr>
  </w:style>
  <w:style w:type="paragraph" w:customStyle="1" w:styleId="affffff0">
    <w:name w:val="标准文件_封面密级"/>
    <w:basedOn w:val="afff8"/>
    <w:qFormat/>
    <w:rPr>
      <w:rFonts w:eastAsia="黑体"/>
      <w:sz w:val="32"/>
    </w:rPr>
  </w:style>
  <w:style w:type="paragraph" w:customStyle="1" w:styleId="affffff1">
    <w:name w:val="标准文件_封面实施日期"/>
    <w:basedOn w:val="afff8"/>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2"/>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2">
    <w:name w:val="标准文件_附录表标题"/>
    <w:next w:val="afffff2"/>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7">
    <w:name w:val="标准文件_附录一级条标题"/>
    <w:next w:val="afffff2"/>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8">
    <w:name w:val="标准文件_附录二级条标题"/>
    <w:basedOn w:val="aff7"/>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2"/>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a">
    <w:name w:val="标准文件_附录四级条标题"/>
    <w:next w:val="afffff2"/>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c">
    <w:name w:val="标准文件_附录图标题"/>
    <w:next w:val="afffff2"/>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b">
    <w:name w:val="标准文件_附录五级条标题"/>
    <w:next w:val="afffff2"/>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2">
    <w:name w:val="标准文件_附录英文标识"/>
    <w:next w:val="afffd"/>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d"/>
    <w:qFormat/>
    <w:rPr>
      <w:kern w:val="2"/>
      <w:sz w:val="21"/>
      <w:szCs w:val="21"/>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8"/>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6">
    <w:name w:val="标准文件_目次、标准名称标题"/>
    <w:basedOn w:val="a6"/>
    <w:next w:val="afffff2"/>
    <w:qFormat/>
    <w:pPr>
      <w:spacing w:line="460" w:lineRule="exact"/>
      <w:ind w:left="0" w:firstLine="0"/>
    </w:pPr>
  </w:style>
  <w:style w:type="paragraph" w:customStyle="1" w:styleId="affffff7">
    <w:name w:val="标准文件_目录标题"/>
    <w:basedOn w:val="afff8"/>
    <w:qFormat/>
    <w:pPr>
      <w:spacing w:before="480" w:afterLines="150" w:after="150" w:line="240" w:lineRule="auto"/>
      <w:jc w:val="center"/>
    </w:pPr>
    <w:rPr>
      <w:rFonts w:ascii="黑体" w:eastAsia="黑体"/>
      <w:sz w:val="32"/>
    </w:rPr>
  </w:style>
  <w:style w:type="paragraph" w:customStyle="1" w:styleId="af3">
    <w:name w:val="标准文件_破折号列项"/>
    <w:qFormat/>
    <w:pPr>
      <w:numPr>
        <w:numId w:val="9"/>
      </w:numPr>
      <w:adjustRightInd w:val="0"/>
      <w:snapToGrid w:val="0"/>
      <w:ind w:firstLineChars="200" w:firstLine="200"/>
    </w:pPr>
    <w:rPr>
      <w:sz w:val="21"/>
    </w:rPr>
  </w:style>
  <w:style w:type="paragraph" w:customStyle="1" w:styleId="aff">
    <w:name w:val="标准文件_破折号列项（二级）"/>
    <w:basedOn w:val="af3"/>
    <w:qFormat/>
    <w:pPr>
      <w:numPr>
        <w:numId w:val="10"/>
      </w:numPr>
    </w:pPr>
  </w:style>
  <w:style w:type="paragraph" w:customStyle="1" w:styleId="afff2">
    <w:name w:val="标准文件_三级条标题"/>
    <w:basedOn w:val="afff1"/>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8"/>
    <w:qFormat/>
    <w:pPr>
      <w:adjustRightInd/>
      <w:spacing w:line="240" w:lineRule="auto"/>
      <w:ind w:firstLineChars="200" w:firstLine="200"/>
    </w:pPr>
    <w:rPr>
      <w:sz w:val="18"/>
      <w:szCs w:val="24"/>
    </w:rPr>
  </w:style>
  <w:style w:type="paragraph" w:customStyle="1" w:styleId="affc">
    <w:name w:val="标准文件_数字编号列项"/>
    <w:qFormat/>
    <w:pPr>
      <w:numPr>
        <w:numId w:val="11"/>
      </w:numPr>
      <w:jc w:val="both"/>
    </w:pPr>
    <w:rPr>
      <w:rFonts w:ascii="宋体" w:hAnsi="宋体"/>
      <w:sz w:val="21"/>
    </w:rPr>
  </w:style>
  <w:style w:type="paragraph" w:customStyle="1" w:styleId="afff3">
    <w:name w:val="标准文件_四级条标题"/>
    <w:next w:val="afffff2"/>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1"/>
    <w:semiHidden/>
    <w:qFormat/>
    <w:rPr>
      <w:rFonts w:ascii="宋体"/>
      <w:kern w:val="2"/>
      <w:sz w:val="18"/>
      <w:szCs w:val="18"/>
    </w:rPr>
  </w:style>
  <w:style w:type="paragraph" w:customStyle="1" w:styleId="affffff9">
    <w:name w:val="标准文件_条文脚注"/>
    <w:basedOn w:val="affff1"/>
    <w:qFormat/>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4">
    <w:name w:val="标准文件_五级条标题"/>
    <w:next w:val="afffff2"/>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
    <w:name w:val="标准文件_章标题"/>
    <w:next w:val="afffff2"/>
    <w:qFormat/>
    <w:pPr>
      <w:numPr>
        <w:ilvl w:val="1"/>
        <w:numId w:val="2"/>
      </w:numPr>
      <w:spacing w:beforeLines="100" w:before="100" w:afterLines="100" w:after="100"/>
      <w:jc w:val="both"/>
      <w:outlineLvl w:val="0"/>
    </w:pPr>
    <w:rPr>
      <w:rFonts w:ascii="黑体" w:eastAsia="黑体"/>
      <w:sz w:val="21"/>
    </w:rPr>
  </w:style>
  <w:style w:type="paragraph" w:customStyle="1" w:styleId="afff0">
    <w:name w:val="标准文件_一级条标题"/>
    <w:basedOn w:val="afff"/>
    <w:next w:val="afffff2"/>
    <w:qFormat/>
    <w:pPr>
      <w:numPr>
        <w:ilvl w:val="2"/>
      </w:numPr>
      <w:spacing w:beforeLines="50" w:before="50" w:afterLines="50" w:after="50"/>
      <w:outlineLvl w:val="1"/>
    </w:pPr>
  </w:style>
  <w:style w:type="paragraph" w:customStyle="1" w:styleId="affffffb">
    <w:name w:val="标准文件_一致程度"/>
    <w:basedOn w:val="afff8"/>
    <w:qFormat/>
    <w:pPr>
      <w:spacing w:line="440" w:lineRule="exact"/>
      <w:jc w:val="center"/>
    </w:pPr>
    <w:rPr>
      <w:sz w:val="28"/>
    </w:rPr>
  </w:style>
  <w:style w:type="paragraph" w:customStyle="1" w:styleId="affffffc">
    <w:name w:val="标准文件_引言标题"/>
    <w:next w:val="afff8"/>
    <w:qFormat/>
    <w:pPr>
      <w:shd w:val="clear" w:color="FFFFFF" w:fill="FFFFFF"/>
      <w:spacing w:before="540" w:after="600"/>
      <w:jc w:val="center"/>
      <w:outlineLvl w:val="0"/>
    </w:pPr>
    <w:rPr>
      <w:rFonts w:ascii="黑体" w:eastAsia="黑体"/>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9">
    <w:name w:val="标准文件_数字编号列项（二级）"/>
    <w:qFormat/>
    <w:pPr>
      <w:numPr>
        <w:ilvl w:val="1"/>
        <w:numId w:val="13"/>
      </w:numPr>
      <w:jc w:val="both"/>
    </w:pPr>
    <w:rPr>
      <w:rFonts w:ascii="宋体"/>
      <w:sz w:val="21"/>
    </w:rPr>
  </w:style>
  <w:style w:type="paragraph" w:customStyle="1" w:styleId="af1">
    <w:name w:val="标准文件_英文注："/>
    <w:basedOn w:val="afff8"/>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qFormat/>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2"/>
    <w:qFormat/>
    <w:pPr>
      <w:numPr>
        <w:numId w:val="16"/>
      </w:numPr>
      <w:tabs>
        <w:tab w:val="left" w:pos="0"/>
      </w:tabs>
      <w:spacing w:beforeLines="50" w:before="50" w:afterLines="50" w:after="50"/>
      <w:jc w:val="center"/>
    </w:pPr>
    <w:rPr>
      <w:rFonts w:ascii="黑体" w:eastAsia="黑体"/>
      <w:sz w:val="21"/>
    </w:rPr>
  </w:style>
  <w:style w:type="paragraph" w:customStyle="1" w:styleId="affffffe">
    <w:name w:val="标准文件_正文公式"/>
    <w:basedOn w:val="afff8"/>
    <w:next w:val="afffff1"/>
    <w:qFormat/>
    <w:pPr>
      <w:tabs>
        <w:tab w:val="center" w:pos="4678"/>
        <w:tab w:val="right" w:leader="middleDot" w:pos="9356"/>
      </w:tabs>
      <w:spacing w:line="240" w:lineRule="auto"/>
    </w:pPr>
    <w:rPr>
      <w:rFonts w:ascii="宋体" w:hAnsi="宋体"/>
    </w:rPr>
  </w:style>
  <w:style w:type="paragraph" w:customStyle="1" w:styleId="aff0">
    <w:name w:val="标准文件_正文图标题"/>
    <w:next w:val="afffff2"/>
    <w:qFormat/>
    <w:pPr>
      <w:numPr>
        <w:numId w:val="17"/>
      </w:numPr>
      <w:spacing w:beforeLines="50" w:before="50" w:afterLines="50" w:after="50"/>
      <w:jc w:val="center"/>
    </w:pPr>
    <w:rPr>
      <w:rFonts w:ascii="黑体" w:eastAsia="黑体"/>
      <w:sz w:val="21"/>
    </w:rPr>
  </w:style>
  <w:style w:type="paragraph" w:customStyle="1" w:styleId="afff6">
    <w:name w:val="标准文件_正文英文表标题"/>
    <w:next w:val="afffff2"/>
    <w:qFormat/>
    <w:pPr>
      <w:numPr>
        <w:numId w:val="18"/>
      </w:numPr>
      <w:jc w:val="center"/>
    </w:pPr>
    <w:rPr>
      <w:rFonts w:ascii="黑体" w:eastAsia="黑体"/>
      <w:sz w:val="21"/>
    </w:rPr>
  </w:style>
  <w:style w:type="paragraph" w:customStyle="1" w:styleId="afe">
    <w:name w:val="标准文件_正文英文图标题"/>
    <w:next w:val="afffff2"/>
    <w:qFormat/>
    <w:pPr>
      <w:numPr>
        <w:numId w:val="19"/>
      </w:numPr>
      <w:jc w:val="center"/>
    </w:pPr>
    <w:rPr>
      <w:rFonts w:ascii="黑体" w:eastAsia="黑体"/>
      <w:sz w:val="21"/>
    </w:rPr>
  </w:style>
  <w:style w:type="paragraph" w:customStyle="1" w:styleId="afa">
    <w:name w:val="标准文件_编号列项（三级）"/>
    <w:qFormat/>
    <w:pPr>
      <w:numPr>
        <w:ilvl w:val="2"/>
        <w:numId w:val="13"/>
      </w:numPr>
    </w:pPr>
    <w:rPr>
      <w:rFonts w:ascii="宋体"/>
      <w:sz w:val="21"/>
    </w:rPr>
  </w:style>
  <w:style w:type="paragraph" w:customStyle="1" w:styleId="a1">
    <w:name w:val="二级无标题条"/>
    <w:basedOn w:val="afff8"/>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b/>
      <w:w w:val="135"/>
      <w:sz w:val="36"/>
    </w:rPr>
  </w:style>
  <w:style w:type="paragraph" w:customStyle="1" w:styleId="afffffff0">
    <w:name w:val="发布日期"/>
    <w:qFormat/>
    <w:pPr>
      <w:framePr w:w="4000" w:h="473" w:hRule="exact" w:hSpace="180" w:vSpace="180" w:wrap="around" w:hAnchor="margin" w:y="13511" w:anchorLock="1"/>
    </w:pPr>
    <w:rPr>
      <w:rFonts w:eastAsia="黑体"/>
      <w:sz w:val="28"/>
    </w:rPr>
  </w:style>
  <w:style w:type="paragraph" w:customStyle="1" w:styleId="afffffff1">
    <w:name w:val="封面标准代替信息"/>
    <w:basedOn w:val="afff8"/>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3">
    <w:name w:val="封面标准文稿编辑信息"/>
    <w:qFormat/>
    <w:pPr>
      <w:spacing w:before="180" w:line="180" w:lineRule="exact"/>
      <w:jc w:val="center"/>
    </w:pPr>
    <w:rPr>
      <w:rFonts w:ascii="宋体"/>
      <w:sz w:val="21"/>
    </w:rPr>
  </w:style>
  <w:style w:type="paragraph" w:customStyle="1" w:styleId="afffffff4">
    <w:name w:val="封面标准文稿类别"/>
    <w:qFormat/>
    <w:pPr>
      <w:spacing w:before="440" w:line="400" w:lineRule="exact"/>
      <w:jc w:val="center"/>
    </w:pPr>
    <w:rPr>
      <w:rFonts w:ascii="宋体"/>
      <w:sz w:val="24"/>
    </w:rPr>
  </w:style>
  <w:style w:type="paragraph" w:customStyle="1" w:styleId="afffffff5">
    <w:name w:val="封面标准英文名称"/>
    <w:qFormat/>
    <w:pPr>
      <w:widowControl w:val="0"/>
      <w:spacing w:line="360" w:lineRule="exact"/>
      <w:jc w:val="center"/>
    </w:pPr>
    <w:rPr>
      <w:sz w:val="28"/>
    </w:rPr>
  </w:style>
  <w:style w:type="paragraph" w:customStyle="1" w:styleId="afffffff6">
    <w:name w:val="封面一致性程度标识"/>
    <w:qFormat/>
    <w:pPr>
      <w:spacing w:before="440" w:line="440" w:lineRule="exact"/>
      <w:jc w:val="center"/>
    </w:pPr>
    <w:rPr>
      <w:sz w:val="28"/>
    </w:rPr>
  </w:style>
  <w:style w:type="paragraph" w:customStyle="1" w:styleId="afffffff7">
    <w:name w:val="封面正文"/>
    <w:qFormat/>
    <w:pPr>
      <w:jc w:val="both"/>
    </w:pPr>
  </w:style>
  <w:style w:type="paragraph" w:customStyle="1" w:styleId="afffffff8">
    <w:name w:val="附录二级无标题条"/>
    <w:basedOn w:val="afff8"/>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5">
    <w:name w:val="标准文件_一级项"/>
    <w:qFormat/>
    <w:pPr>
      <w:numPr>
        <w:numId w:val="21"/>
      </w:numPr>
    </w:pPr>
    <w:rPr>
      <w:rFonts w:ascii="宋体"/>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8"/>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sz w:val="18"/>
    </w:rPr>
  </w:style>
  <w:style w:type="paragraph" w:customStyle="1" w:styleId="afff7">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sz w:val="21"/>
    </w:rPr>
  </w:style>
  <w:style w:type="paragraph" w:customStyle="1" w:styleId="210">
    <w:name w:val="目录 21"/>
    <w:basedOn w:val="afff8"/>
    <w:next w:val="afff8"/>
    <w:semiHidden/>
    <w:qFormat/>
    <w:pPr>
      <w:adjustRightInd/>
      <w:spacing w:line="240" w:lineRule="auto"/>
      <w:jc w:val="left"/>
    </w:pPr>
    <w:rPr>
      <w:bCs/>
      <w:iCs/>
    </w:rPr>
  </w:style>
  <w:style w:type="paragraph" w:customStyle="1" w:styleId="31">
    <w:name w:val="目录 31"/>
    <w:basedOn w:val="afff8"/>
    <w:next w:val="afff8"/>
    <w:semiHidden/>
    <w:qFormat/>
    <w:pPr>
      <w:spacing w:line="240" w:lineRule="auto"/>
    </w:pPr>
    <w:rPr>
      <w:rFonts w:ascii="宋体" w:hAnsi="宋体"/>
      <w:iCs/>
    </w:rPr>
  </w:style>
  <w:style w:type="paragraph" w:customStyle="1" w:styleId="41">
    <w:name w:val="目录 41"/>
    <w:basedOn w:val="afff8"/>
    <w:next w:val="afff8"/>
    <w:semiHidden/>
    <w:qFormat/>
    <w:pPr>
      <w:adjustRightInd/>
      <w:spacing w:line="240" w:lineRule="auto"/>
      <w:jc w:val="left"/>
    </w:pPr>
  </w:style>
  <w:style w:type="paragraph" w:customStyle="1" w:styleId="51">
    <w:name w:val="目录 51"/>
    <w:basedOn w:val="afff8"/>
    <w:next w:val="afff8"/>
    <w:semiHidden/>
    <w:qFormat/>
    <w:pPr>
      <w:spacing w:line="240" w:lineRule="auto"/>
    </w:pPr>
    <w:rPr>
      <w:rFonts w:ascii="宋体" w:hAnsi="宋体"/>
    </w:rPr>
  </w:style>
  <w:style w:type="paragraph" w:customStyle="1" w:styleId="61">
    <w:name w:val="目录 61"/>
    <w:basedOn w:val="afff8"/>
    <w:next w:val="afff8"/>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e">
    <w:name w:val="前言标题"/>
    <w:next w:val="afff8"/>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8"/>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8"/>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eastAsia="黑体"/>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8"/>
    <w:qFormat/>
    <w:pPr>
      <w:numPr>
        <w:ilvl w:val="6"/>
        <w:numId w:val="20"/>
      </w:numPr>
      <w:adjustRightInd/>
    </w:pPr>
    <w:rPr>
      <w:szCs w:val="24"/>
    </w:rPr>
  </w:style>
  <w:style w:type="paragraph" w:customStyle="1" w:styleId="a0">
    <w:name w:val="一级无标题条"/>
    <w:basedOn w:val="afff8"/>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f0"/>
    <w:qFormat/>
    <w:pPr>
      <w:spacing w:beforeLines="0" w:before="0" w:afterLines="0" w:after="0"/>
      <w:outlineLvl w:val="9"/>
    </w:pPr>
    <w:rPr>
      <w:rFonts w:ascii="宋体" w:eastAsia="宋体"/>
    </w:rPr>
  </w:style>
  <w:style w:type="paragraph" w:customStyle="1" w:styleId="affffffffc">
    <w:name w:val="标准文件_五级无标题"/>
    <w:basedOn w:val="afff4"/>
    <w:qFormat/>
    <w:pPr>
      <w:spacing w:beforeLines="0" w:before="0" w:afterLines="0" w:after="0"/>
      <w:outlineLvl w:val="9"/>
    </w:pPr>
    <w:rPr>
      <w:rFonts w:ascii="宋体" w:eastAsia="宋体"/>
    </w:rPr>
  </w:style>
  <w:style w:type="paragraph" w:customStyle="1" w:styleId="affffffffd">
    <w:name w:val="标准文件_三级无标题"/>
    <w:basedOn w:val="afff2"/>
    <w:qFormat/>
    <w:pPr>
      <w:spacing w:beforeLines="0" w:before="0" w:afterLines="0" w:after="0"/>
      <w:outlineLvl w:val="9"/>
    </w:pPr>
    <w:rPr>
      <w:rFonts w:ascii="宋体" w:eastAsia="宋体"/>
    </w:rPr>
  </w:style>
  <w:style w:type="paragraph" w:customStyle="1" w:styleId="affffffffe">
    <w:name w:val="标准文件_二级无标题"/>
    <w:basedOn w:val="afff1"/>
    <w:qFormat/>
    <w:pPr>
      <w:spacing w:beforeLines="0" w:before="0" w:afterLines="0" w:after="0"/>
      <w:outlineLvl w:val="9"/>
    </w:pPr>
    <w:rPr>
      <w:rFonts w:ascii="宋体" w:eastAsia="宋体"/>
    </w:rPr>
  </w:style>
  <w:style w:type="paragraph" w:customStyle="1" w:styleId="afffffffff">
    <w:name w:val="标准_四级无标题"/>
    <w:basedOn w:val="afff3"/>
    <w:next w:val="afffff2"/>
    <w:qFormat/>
    <w:rPr>
      <w:rFonts w:eastAsia="宋体"/>
    </w:rPr>
  </w:style>
  <w:style w:type="paragraph" w:customStyle="1" w:styleId="afffffffff0">
    <w:name w:val="标准文件_四级无标题"/>
    <w:basedOn w:val="afff3"/>
    <w:qFormat/>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f2"/>
    <w:qFormat/>
    <w:pPr>
      <w:numPr>
        <w:numId w:val="23"/>
      </w:numPr>
      <w:ind w:firstLineChars="0" w:firstLine="0"/>
    </w:pPr>
    <w:rPr>
      <w:rFonts w:ascii="Times New Roman" w:cs="Arial"/>
      <w:szCs w:val="28"/>
    </w:rPr>
  </w:style>
  <w:style w:type="paragraph" w:customStyle="1" w:styleId="af0">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6"/>
    <w:qFormat/>
    <w:pPr>
      <w:numPr>
        <w:numId w:val="0"/>
      </w:numPr>
      <w:spacing w:after="280"/>
      <w:outlineLvl w:val="9"/>
    </w:pPr>
  </w:style>
  <w:style w:type="paragraph" w:customStyle="1" w:styleId="afffffffff2">
    <w:name w:val="标准文件_二级项"/>
    <w:qFormat/>
    <w:rPr>
      <w:rFonts w:ascii="宋体"/>
      <w:sz w:val="21"/>
    </w:rPr>
  </w:style>
  <w:style w:type="paragraph" w:customStyle="1" w:styleId="af6">
    <w:name w:val="标准文件_三级项"/>
    <w:basedOn w:val="afff8"/>
    <w:qFormat/>
    <w:pPr>
      <w:numPr>
        <w:ilvl w:val="2"/>
        <w:numId w:val="21"/>
      </w:numPr>
      <w:spacing w:line="-300" w:lineRule="auto"/>
    </w:pPr>
    <w:rPr>
      <w:rFonts w:ascii="Times New Roman" w:hAnsi="Times New Roman"/>
    </w:rPr>
  </w:style>
  <w:style w:type="paragraph" w:customStyle="1" w:styleId="affd">
    <w:name w:val="图表脚注说明"/>
    <w:basedOn w:val="afff8"/>
    <w:next w:val="afffff2"/>
    <w:qFormat/>
    <w:pPr>
      <w:numPr>
        <w:numId w:val="25"/>
      </w:numPr>
      <w:adjustRightInd/>
      <w:spacing w:line="240" w:lineRule="auto"/>
    </w:pPr>
    <w:rPr>
      <w:rFonts w:ascii="宋体" w:hAnsi="Times New Roman"/>
      <w:sz w:val="18"/>
      <w:szCs w:val="18"/>
    </w:rPr>
  </w:style>
  <w:style w:type="paragraph" w:customStyle="1" w:styleId="af8">
    <w:name w:val="标准文件_字母编号列项（一级）"/>
    <w:qFormat/>
    <w:pPr>
      <w:numPr>
        <w:numId w:val="13"/>
      </w:numPr>
      <w:jc w:val="both"/>
    </w:pPr>
    <w:rPr>
      <w:rFonts w:ascii="宋体"/>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5">
    <w:name w:val="标准文件_注："/>
    <w:next w:val="afffff2"/>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7"/>
    <w:qFormat/>
    <w:pPr>
      <w:widowControl w:val="0"/>
      <w:numPr>
        <w:numId w:val="28"/>
      </w:numPr>
      <w:jc w:val="both"/>
    </w:pPr>
    <w:rPr>
      <w:rFonts w:ascii="宋体"/>
      <w:sz w:val="18"/>
      <w:szCs w:val="18"/>
    </w:rPr>
  </w:style>
  <w:style w:type="paragraph" w:customStyle="1" w:styleId="afffffffff7">
    <w:name w:val="标准文件_示例内容"/>
    <w:basedOn w:val="afffff2"/>
    <w:qFormat/>
    <w:pPr>
      <w:ind w:firstLine="420"/>
    </w:pPr>
    <w:rPr>
      <w:sz w:val="18"/>
    </w:rPr>
  </w:style>
  <w:style w:type="paragraph" w:customStyle="1" w:styleId="afd">
    <w:name w:val="标准文件_示例×："/>
    <w:basedOn w:val="afff8"/>
    <w:next w:val="afffffffff7"/>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9"/>
    <w:uiPriority w:val="99"/>
    <w:semiHidden/>
    <w:qFormat/>
    <w:rPr>
      <w:color w:val="808080"/>
    </w:rPr>
  </w:style>
  <w:style w:type="paragraph" w:customStyle="1" w:styleId="2">
    <w:name w:val="标准文件_二级项2"/>
    <w:basedOn w:val="afffff2"/>
    <w:qFormat/>
    <w:pPr>
      <w:numPr>
        <w:ilvl w:val="1"/>
        <w:numId w:val="21"/>
      </w:numPr>
      <w:ind w:firstLineChars="0" w:firstLine="0"/>
    </w:pPr>
  </w:style>
  <w:style w:type="paragraph" w:customStyle="1" w:styleId="21">
    <w:name w:val="标准文件_三级项2"/>
    <w:basedOn w:val="afffff2"/>
    <w:qFormat/>
    <w:pPr>
      <w:numPr>
        <w:numId w:val="30"/>
      </w:numPr>
      <w:spacing w:line="300" w:lineRule="exact"/>
      <w:ind w:firstLineChars="0"/>
    </w:pPr>
    <w:rPr>
      <w:rFonts w:ascii="Times New Roman"/>
    </w:rPr>
  </w:style>
  <w:style w:type="paragraph" w:customStyle="1" w:styleId="20">
    <w:name w:val="标准文件_一级项2"/>
    <w:basedOn w:val="afffff2"/>
    <w:qFormat/>
    <w:pPr>
      <w:numPr>
        <w:numId w:val="31"/>
      </w:numPr>
      <w:spacing w:line="300" w:lineRule="exact"/>
      <w:ind w:firstLineChars="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9"/>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8"/>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9"/>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a"/>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b"/>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ffffffffffc">
    <w:name w:val="标准文件_引言三级无标题"/>
    <w:basedOn w:val="a9"/>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6">
    <w:name w:val="发布"/>
    <w:basedOn w:val="afff9"/>
    <w:qFormat/>
    <w:rPr>
      <w:rFonts w:ascii="黑体" w:eastAsia="黑体"/>
      <w:spacing w:val="85"/>
      <w:w w:val="100"/>
      <w:position w:val="3"/>
      <w:sz w:val="28"/>
      <w:szCs w:val="28"/>
    </w:rPr>
  </w:style>
  <w:style w:type="paragraph" w:customStyle="1" w:styleId="afffffffffff7">
    <w:name w:val="段"/>
    <w:link w:val="Char7"/>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link w:val="afffffffffff7"/>
    <w:qFormat/>
    <w:rPr>
      <w:rFonts w:ascii="宋体" w:hAnsi="Times New Roman"/>
      <w:sz w:val="21"/>
    </w:rPr>
  </w:style>
  <w:style w:type="paragraph" w:customStyle="1" w:styleId="ae">
    <w:name w:val="一级条标题"/>
    <w:next w:val="afffffffffff7"/>
    <w:qFormat/>
    <w:pPr>
      <w:numPr>
        <w:ilvl w:val="1"/>
        <w:numId w:val="3"/>
      </w:numPr>
      <w:spacing w:beforeLines="50" w:before="156" w:afterLines="50" w:after="156"/>
      <w:outlineLvl w:val="2"/>
    </w:pPr>
    <w:rPr>
      <w:rFonts w:ascii="黑体" w:eastAsia="黑体"/>
      <w:sz w:val="21"/>
      <w:szCs w:val="21"/>
    </w:rPr>
  </w:style>
  <w:style w:type="paragraph" w:customStyle="1" w:styleId="af">
    <w:name w:val="二级条标题"/>
    <w:basedOn w:val="ae"/>
    <w:next w:val="afffffffffff7"/>
    <w:qFormat/>
    <w:pPr>
      <w:numPr>
        <w:ilvl w:val="2"/>
      </w:numPr>
      <w:spacing w:before="50" w:after="50"/>
      <w:ind w:left="0"/>
      <w:outlineLvl w:val="3"/>
    </w:pPr>
  </w:style>
  <w:style w:type="paragraph" w:customStyle="1" w:styleId="af4">
    <w:name w:val="三级条标题"/>
    <w:basedOn w:val="af"/>
    <w:next w:val="afffffffffff7"/>
    <w:qFormat/>
    <w:pPr>
      <w:numPr>
        <w:ilvl w:val="3"/>
        <w:numId w:val="32"/>
      </w:numPr>
      <w:outlineLvl w:val="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8"/>
    <w:next w:val="afff8"/>
    <w:link w:val="1Char"/>
    <w:qFormat/>
    <w:pPr>
      <w:keepNext/>
      <w:keepLines/>
      <w:spacing w:before="340" w:after="330" w:line="578" w:lineRule="auto"/>
      <w:outlineLvl w:val="0"/>
    </w:pPr>
    <w:rPr>
      <w:b/>
      <w:bCs/>
      <w:kern w:val="44"/>
      <w:sz w:val="44"/>
      <w:szCs w:val="44"/>
    </w:rPr>
  </w:style>
  <w:style w:type="paragraph" w:styleId="22">
    <w:name w:val="heading 2"/>
    <w:basedOn w:val="afff8"/>
    <w:next w:val="afff8"/>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pPr>
      <w:keepNext/>
      <w:keepLines/>
      <w:spacing w:before="260" w:after="260" w:line="416" w:lineRule="auto"/>
      <w:outlineLvl w:val="2"/>
    </w:pPr>
    <w:rPr>
      <w:b/>
      <w:bCs/>
      <w:sz w:val="32"/>
      <w:szCs w:val="32"/>
    </w:rPr>
  </w:style>
  <w:style w:type="paragraph" w:styleId="4">
    <w:name w:val="heading 4"/>
    <w:basedOn w:val="afff8"/>
    <w:next w:val="aff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uiPriority w:val="39"/>
    <w:unhideWhenUsed/>
    <w:qFormat/>
    <w:pPr>
      <w:tabs>
        <w:tab w:val="right" w:leader="dot" w:pos="9344"/>
      </w:tabs>
      <w:spacing w:line="300" w:lineRule="exact"/>
      <w:ind w:left="1259"/>
    </w:pPr>
    <w:rPr>
      <w:rFonts w:ascii="宋体"/>
    </w:rPr>
  </w:style>
  <w:style w:type="paragraph" w:styleId="afffc">
    <w:name w:val="Normal Indent"/>
    <w:basedOn w:val="afff8"/>
    <w:qFormat/>
    <w:pPr>
      <w:ind w:firstLine="420"/>
    </w:pPr>
  </w:style>
  <w:style w:type="paragraph" w:styleId="afffd">
    <w:name w:val="Body Text"/>
    <w:basedOn w:val="afff8"/>
    <w:link w:val="Char"/>
    <w:qFormat/>
    <w:pPr>
      <w:spacing w:after="120"/>
    </w:pPr>
  </w:style>
  <w:style w:type="paragraph" w:styleId="50">
    <w:name w:val="toc 5"/>
    <w:basedOn w:val="afff8"/>
    <w:next w:val="afff8"/>
    <w:uiPriority w:val="39"/>
    <w:unhideWhenUsed/>
    <w:qFormat/>
    <w:pPr>
      <w:ind w:left="839"/>
    </w:pPr>
    <w:rPr>
      <w:rFonts w:ascii="宋体"/>
    </w:rPr>
  </w:style>
  <w:style w:type="paragraph" w:styleId="30">
    <w:name w:val="toc 3"/>
    <w:basedOn w:val="afff8"/>
    <w:next w:val="afff8"/>
    <w:uiPriority w:val="39"/>
    <w:unhideWhenUsed/>
    <w:qFormat/>
    <w:pPr>
      <w:spacing w:line="300" w:lineRule="exact"/>
      <w:ind w:left="420"/>
    </w:pPr>
    <w:rPr>
      <w:rFonts w:ascii="宋体"/>
    </w:rPr>
  </w:style>
  <w:style w:type="paragraph" w:styleId="afffe">
    <w:name w:val="Balloon Text"/>
    <w:basedOn w:val="afff8"/>
    <w:link w:val="Char0"/>
    <w:uiPriority w:val="99"/>
    <w:semiHidden/>
    <w:unhideWhenUsed/>
    <w:qFormat/>
    <w:rPr>
      <w:sz w:val="18"/>
      <w:szCs w:val="18"/>
    </w:rPr>
  </w:style>
  <w:style w:type="paragraph" w:styleId="affff">
    <w:name w:val="footer"/>
    <w:basedOn w:val="afff8"/>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8"/>
    <w:link w:val="Char2"/>
    <w:uiPriority w:val="99"/>
    <w:qFormat/>
    <w:pPr>
      <w:tabs>
        <w:tab w:val="center" w:pos="4153"/>
        <w:tab w:val="right" w:pos="8306"/>
      </w:tabs>
      <w:adjustRightInd/>
      <w:snapToGrid w:val="0"/>
      <w:jc w:val="center"/>
    </w:pPr>
    <w:rPr>
      <w:sz w:val="18"/>
      <w:szCs w:val="18"/>
    </w:rPr>
  </w:style>
  <w:style w:type="paragraph" w:styleId="10">
    <w:name w:val="toc 1"/>
    <w:basedOn w:val="afff8"/>
    <w:next w:val="afff8"/>
    <w:uiPriority w:val="39"/>
    <w:unhideWhenUsed/>
    <w:qFormat/>
    <w:rPr>
      <w:rFonts w:ascii="宋体"/>
    </w:rPr>
  </w:style>
  <w:style w:type="paragraph" w:styleId="40">
    <w:name w:val="toc 4"/>
    <w:basedOn w:val="afff8"/>
    <w:next w:val="afff8"/>
    <w:uiPriority w:val="39"/>
    <w:unhideWhenUsed/>
    <w:qFormat/>
    <w:pPr>
      <w:tabs>
        <w:tab w:val="right" w:leader="dot" w:pos="9344"/>
      </w:tabs>
      <w:spacing w:line="300" w:lineRule="exact"/>
      <w:ind w:left="629"/>
    </w:pPr>
    <w:rPr>
      <w:rFonts w:ascii="宋体"/>
    </w:rPr>
  </w:style>
  <w:style w:type="paragraph" w:styleId="affff1">
    <w:name w:val="footnote text"/>
    <w:basedOn w:val="afff8"/>
    <w:next w:val="afff8"/>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uiPriority w:val="39"/>
    <w:unhideWhenUsed/>
    <w:qFormat/>
    <w:pPr>
      <w:spacing w:line="300" w:lineRule="exact"/>
      <w:ind w:left="1049"/>
    </w:pPr>
    <w:rPr>
      <w:rFonts w:ascii="宋体"/>
    </w:rPr>
  </w:style>
  <w:style w:type="paragraph" w:styleId="affff2">
    <w:name w:val="table of figures"/>
    <w:basedOn w:val="afff8"/>
    <w:next w:val="afff8"/>
    <w:semiHidden/>
    <w:qFormat/>
    <w:pPr>
      <w:adjustRightInd/>
      <w:spacing w:line="240" w:lineRule="auto"/>
      <w:jc w:val="left"/>
    </w:pPr>
    <w:rPr>
      <w:szCs w:val="24"/>
    </w:rPr>
  </w:style>
  <w:style w:type="paragraph" w:styleId="23">
    <w:name w:val="toc 2"/>
    <w:basedOn w:val="afff8"/>
    <w:next w:val="afff8"/>
    <w:uiPriority w:val="39"/>
    <w:unhideWhenUsed/>
    <w:qFormat/>
    <w:pPr>
      <w:tabs>
        <w:tab w:val="right" w:leader="dot" w:pos="9344"/>
      </w:tabs>
      <w:spacing w:line="300" w:lineRule="exact"/>
      <w:ind w:left="210"/>
    </w:pPr>
    <w:rPr>
      <w:rFonts w:ascii="宋体"/>
    </w:rPr>
  </w:style>
  <w:style w:type="paragraph" w:styleId="affff3">
    <w:name w:val="Title"/>
    <w:basedOn w:val="afff8"/>
    <w:link w:val="Char4"/>
    <w:qFormat/>
    <w:pPr>
      <w:spacing w:before="240" w:after="60"/>
      <w:jc w:val="center"/>
      <w:outlineLvl w:val="0"/>
    </w:pPr>
    <w:rPr>
      <w:rFonts w:ascii="Arial" w:hAnsi="Arial" w:cs="Arial"/>
      <w:b/>
      <w:bCs/>
      <w:sz w:val="32"/>
      <w:szCs w:val="32"/>
    </w:rPr>
  </w:style>
  <w:style w:type="table" w:styleId="affff4">
    <w:name w:val="Table Grid"/>
    <w:basedOn w:val="afffa"/>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FollowedHyperlink"/>
    <w:qFormat/>
    <w:rPr>
      <w:color w:val="800080"/>
      <w:u w:val="single"/>
    </w:rPr>
  </w:style>
  <w:style w:type="character" w:styleId="affff8">
    <w:name w:val="Emphasis"/>
    <w:uiPriority w:val="20"/>
    <w:qFormat/>
    <w:rPr>
      <w:i/>
      <w:iCs/>
    </w:rPr>
  </w:style>
  <w:style w:type="character" w:styleId="affff9">
    <w:name w:val="Hyperlink"/>
    <w:uiPriority w:val="99"/>
    <w:qFormat/>
    <w:rPr>
      <w:rFonts w:ascii="宋体" w:eastAsia="宋体" w:hAnsi="Times New Roman"/>
      <w:color w:val="auto"/>
      <w:spacing w:val="0"/>
      <w:w w:val="100"/>
      <w:position w:val="0"/>
      <w:sz w:val="21"/>
      <w:u w:val="none"/>
      <w:vertAlign w:val="baseline"/>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0"/>
    <w:uiPriority w:val="99"/>
    <w:qFormat/>
    <w:rPr>
      <w:kern w:val="2"/>
      <w:sz w:val="18"/>
      <w:szCs w:val="18"/>
    </w:rPr>
  </w:style>
  <w:style w:type="character" w:customStyle="1" w:styleId="Char1">
    <w:name w:val="页脚 Char"/>
    <w:link w:val="affff"/>
    <w:uiPriority w:val="99"/>
    <w:qFormat/>
    <w:rPr>
      <w:rFonts w:ascii="宋体"/>
      <w:kern w:val="2"/>
      <w:sz w:val="18"/>
      <w:szCs w:val="18"/>
    </w:rPr>
  </w:style>
  <w:style w:type="character" w:customStyle="1" w:styleId="Char0">
    <w:name w:val="批注框文本 Char"/>
    <w:link w:val="afffe"/>
    <w:uiPriority w:val="99"/>
    <w:semiHidden/>
    <w:qFormat/>
    <w:rPr>
      <w:kern w:val="2"/>
      <w:sz w:val="18"/>
      <w:szCs w:val="18"/>
    </w:rPr>
  </w:style>
  <w:style w:type="paragraph" w:styleId="affffb">
    <w:name w:val="Quote"/>
    <w:basedOn w:val="afff8"/>
    <w:next w:val="afff8"/>
    <w:link w:val="Char5"/>
    <w:uiPriority w:val="29"/>
    <w:qFormat/>
    <w:rPr>
      <w:i/>
      <w:iCs/>
      <w:color w:val="000000"/>
    </w:rPr>
  </w:style>
  <w:style w:type="character" w:customStyle="1" w:styleId="Char5">
    <w:name w:val="引用 Char"/>
    <w:link w:val="affffb"/>
    <w:uiPriority w:val="29"/>
    <w:qFormat/>
    <w:rPr>
      <w:i/>
      <w:iCs/>
      <w:color w:val="000000"/>
      <w:kern w:val="2"/>
      <w:sz w:val="21"/>
      <w:szCs w:val="21"/>
    </w:rPr>
  </w:style>
  <w:style w:type="character" w:customStyle="1" w:styleId="Char4">
    <w:name w:val="标题 Char"/>
    <w:link w:val="affff3"/>
    <w:qFormat/>
    <w:rPr>
      <w:rFonts w:ascii="Arial" w:hAnsi="Arial" w:cs="Arial"/>
      <w:b/>
      <w:bCs/>
      <w:kern w:val="2"/>
      <w:sz w:val="32"/>
      <w:szCs w:val="32"/>
    </w:rPr>
  </w:style>
  <w:style w:type="paragraph" w:customStyle="1" w:styleId="affffc">
    <w:name w:val="标准标志"/>
    <w:next w:val="afff8"/>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d">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e">
    <w:name w:val="标准文件_页脚偶数页"/>
    <w:qFormat/>
    <w:pPr>
      <w:ind w:left="198"/>
    </w:pPr>
    <w:rPr>
      <w:rFonts w:ascii="宋体"/>
      <w:sz w:val="18"/>
    </w:rPr>
  </w:style>
  <w:style w:type="paragraph" w:customStyle="1" w:styleId="afffff">
    <w:name w:val="标准文件_页脚奇数页"/>
    <w:qFormat/>
    <w:pPr>
      <w:ind w:right="227"/>
      <w:jc w:val="right"/>
    </w:pPr>
    <w:rPr>
      <w:rFonts w:ascii="宋体"/>
      <w:sz w:val="18"/>
    </w:rPr>
  </w:style>
  <w:style w:type="paragraph" w:customStyle="1" w:styleId="afffff0">
    <w:name w:val="标准书眉一"/>
    <w:qFormat/>
    <w:pPr>
      <w:jc w:val="both"/>
    </w:pPr>
  </w:style>
  <w:style w:type="paragraph" w:customStyle="1" w:styleId="ICS">
    <w:name w:val="标准文件_ICS"/>
    <w:basedOn w:val="afff8"/>
    <w:qFormat/>
    <w:pPr>
      <w:spacing w:line="0" w:lineRule="atLeast"/>
    </w:pPr>
    <w:rPr>
      <w:rFonts w:ascii="黑体" w:eastAsia="黑体" w:hAnsi="宋体"/>
    </w:rPr>
  </w:style>
  <w:style w:type="paragraph" w:customStyle="1" w:styleId="afffff1">
    <w:name w:val="标准文件_标准正文"/>
    <w:basedOn w:val="afff8"/>
    <w:next w:val="afffff2"/>
    <w:qFormat/>
    <w:pPr>
      <w:snapToGrid w:val="0"/>
      <w:ind w:firstLineChars="200" w:firstLine="200"/>
    </w:pPr>
    <w:rPr>
      <w:kern w:val="0"/>
    </w:rPr>
  </w:style>
  <w:style w:type="paragraph" w:customStyle="1" w:styleId="afffff2">
    <w:name w:val="标准文件_段"/>
    <w:link w:val="Char6"/>
    <w:qFormat/>
    <w:pPr>
      <w:autoSpaceDE w:val="0"/>
      <w:autoSpaceDN w:val="0"/>
      <w:ind w:firstLineChars="200" w:firstLine="200"/>
      <w:jc w:val="both"/>
    </w:pPr>
    <w:rPr>
      <w:rFonts w:ascii="宋体"/>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8"/>
    <w:qFormat/>
    <w:pPr>
      <w:jc w:val="center"/>
    </w:pPr>
    <w:rPr>
      <w:rFonts w:ascii="黑体" w:eastAsia="黑体"/>
      <w:kern w:val="0"/>
      <w:sz w:val="44"/>
    </w:rPr>
  </w:style>
  <w:style w:type="paragraph" w:customStyle="1" w:styleId="afffff5">
    <w:name w:val="标准文件_标准代替"/>
    <w:basedOn w:val="afff8"/>
    <w:next w:val="afff8"/>
    <w:qFormat/>
    <w:pPr>
      <w:spacing w:line="310" w:lineRule="exact"/>
      <w:jc w:val="right"/>
    </w:pPr>
    <w:rPr>
      <w:rFonts w:ascii="宋体" w:hAnsi="宋体"/>
      <w:kern w:val="0"/>
    </w:rPr>
  </w:style>
  <w:style w:type="paragraph" w:customStyle="1" w:styleId="afffff6">
    <w:name w:val="标准文件_标准名称标题"/>
    <w:basedOn w:val="afff8"/>
    <w:next w:val="afff8"/>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8"/>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8"/>
    <w:qFormat/>
    <w:pPr>
      <w:jc w:val="left"/>
    </w:pPr>
  </w:style>
  <w:style w:type="paragraph" w:customStyle="1" w:styleId="afffff9">
    <w:name w:val="标准文件_参考文献标题"/>
    <w:basedOn w:val="afff8"/>
    <w:next w:val="afff8"/>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1">
    <w:name w:val="标准文件_二级条标题"/>
    <w:next w:val="afffff2"/>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8"/>
    <w:next w:val="afffff5"/>
    <w:qFormat/>
    <w:pPr>
      <w:spacing w:line="310" w:lineRule="exact"/>
      <w:jc w:val="right"/>
    </w:pPr>
    <w:rPr>
      <w:rFonts w:ascii="黑体" w:eastAsia="黑体"/>
      <w:kern w:val="0"/>
      <w:sz w:val="28"/>
    </w:rPr>
  </w:style>
  <w:style w:type="paragraph" w:customStyle="1" w:styleId="afffffc">
    <w:name w:val="标准文件_封面标准分类号"/>
    <w:basedOn w:val="afff8"/>
    <w:qFormat/>
    <w:rPr>
      <w:rFonts w:ascii="黑体" w:eastAsia="黑体"/>
      <w:b/>
      <w:kern w:val="0"/>
      <w:sz w:val="28"/>
    </w:rPr>
  </w:style>
  <w:style w:type="paragraph" w:customStyle="1" w:styleId="afffffd">
    <w:name w:val="标准文件_封面标准名称"/>
    <w:basedOn w:val="afff8"/>
    <w:qFormat/>
    <w:pPr>
      <w:spacing w:line="240" w:lineRule="auto"/>
      <w:jc w:val="center"/>
    </w:pPr>
    <w:rPr>
      <w:rFonts w:ascii="黑体" w:eastAsia="黑体"/>
      <w:kern w:val="0"/>
      <w:sz w:val="52"/>
    </w:rPr>
  </w:style>
  <w:style w:type="paragraph" w:customStyle="1" w:styleId="afffffe">
    <w:name w:val="标准文件_封面标准英文名称"/>
    <w:basedOn w:val="afff8"/>
    <w:qFormat/>
    <w:pPr>
      <w:spacing w:line="240" w:lineRule="auto"/>
      <w:jc w:val="center"/>
    </w:pPr>
    <w:rPr>
      <w:rFonts w:ascii="黑体" w:eastAsia="黑体"/>
      <w:b/>
      <w:sz w:val="28"/>
    </w:rPr>
  </w:style>
  <w:style w:type="paragraph" w:customStyle="1" w:styleId="affffff">
    <w:name w:val="标准文件_封面发布日期"/>
    <w:basedOn w:val="afff8"/>
    <w:qFormat/>
    <w:pPr>
      <w:spacing w:line="310" w:lineRule="exact"/>
    </w:pPr>
    <w:rPr>
      <w:rFonts w:ascii="黑体" w:eastAsia="黑体"/>
      <w:kern w:val="0"/>
      <w:sz w:val="28"/>
    </w:rPr>
  </w:style>
  <w:style w:type="paragraph" w:customStyle="1" w:styleId="affffff0">
    <w:name w:val="标准文件_封面密级"/>
    <w:basedOn w:val="afff8"/>
    <w:qFormat/>
    <w:rPr>
      <w:rFonts w:eastAsia="黑体"/>
      <w:sz w:val="32"/>
    </w:rPr>
  </w:style>
  <w:style w:type="paragraph" w:customStyle="1" w:styleId="affffff1">
    <w:name w:val="标准文件_封面实施日期"/>
    <w:basedOn w:val="afff8"/>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2"/>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2">
    <w:name w:val="标准文件_附录表标题"/>
    <w:next w:val="afffff2"/>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7">
    <w:name w:val="标准文件_附录一级条标题"/>
    <w:next w:val="afffff2"/>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8">
    <w:name w:val="标准文件_附录二级条标题"/>
    <w:basedOn w:val="aff7"/>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2"/>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a">
    <w:name w:val="标准文件_附录四级条标题"/>
    <w:next w:val="afffff2"/>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c">
    <w:name w:val="标准文件_附录图标题"/>
    <w:next w:val="afffff2"/>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b">
    <w:name w:val="标准文件_附录五级条标题"/>
    <w:next w:val="afffff2"/>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2">
    <w:name w:val="标准文件_附录英文标识"/>
    <w:next w:val="afffd"/>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d"/>
    <w:qFormat/>
    <w:rPr>
      <w:kern w:val="2"/>
      <w:sz w:val="21"/>
      <w:szCs w:val="21"/>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8"/>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6">
    <w:name w:val="标准文件_目次、标准名称标题"/>
    <w:basedOn w:val="a6"/>
    <w:next w:val="afffff2"/>
    <w:qFormat/>
    <w:pPr>
      <w:spacing w:line="460" w:lineRule="exact"/>
      <w:ind w:left="0" w:firstLine="0"/>
    </w:pPr>
  </w:style>
  <w:style w:type="paragraph" w:customStyle="1" w:styleId="affffff7">
    <w:name w:val="标准文件_目录标题"/>
    <w:basedOn w:val="afff8"/>
    <w:qFormat/>
    <w:pPr>
      <w:spacing w:before="480" w:afterLines="150" w:after="150" w:line="240" w:lineRule="auto"/>
      <w:jc w:val="center"/>
    </w:pPr>
    <w:rPr>
      <w:rFonts w:ascii="黑体" w:eastAsia="黑体"/>
      <w:sz w:val="32"/>
    </w:rPr>
  </w:style>
  <w:style w:type="paragraph" w:customStyle="1" w:styleId="af3">
    <w:name w:val="标准文件_破折号列项"/>
    <w:qFormat/>
    <w:pPr>
      <w:numPr>
        <w:numId w:val="9"/>
      </w:numPr>
      <w:adjustRightInd w:val="0"/>
      <w:snapToGrid w:val="0"/>
      <w:ind w:firstLineChars="200" w:firstLine="200"/>
    </w:pPr>
    <w:rPr>
      <w:sz w:val="21"/>
    </w:rPr>
  </w:style>
  <w:style w:type="paragraph" w:customStyle="1" w:styleId="aff">
    <w:name w:val="标准文件_破折号列项（二级）"/>
    <w:basedOn w:val="af3"/>
    <w:qFormat/>
    <w:pPr>
      <w:numPr>
        <w:numId w:val="10"/>
      </w:numPr>
    </w:pPr>
  </w:style>
  <w:style w:type="paragraph" w:customStyle="1" w:styleId="afff2">
    <w:name w:val="标准文件_三级条标题"/>
    <w:basedOn w:val="afff1"/>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8"/>
    <w:qFormat/>
    <w:pPr>
      <w:adjustRightInd/>
      <w:spacing w:line="240" w:lineRule="auto"/>
      <w:ind w:firstLineChars="200" w:firstLine="200"/>
    </w:pPr>
    <w:rPr>
      <w:sz w:val="18"/>
      <w:szCs w:val="24"/>
    </w:rPr>
  </w:style>
  <w:style w:type="paragraph" w:customStyle="1" w:styleId="affc">
    <w:name w:val="标准文件_数字编号列项"/>
    <w:qFormat/>
    <w:pPr>
      <w:numPr>
        <w:numId w:val="11"/>
      </w:numPr>
      <w:jc w:val="both"/>
    </w:pPr>
    <w:rPr>
      <w:rFonts w:ascii="宋体" w:hAnsi="宋体"/>
      <w:sz w:val="21"/>
    </w:rPr>
  </w:style>
  <w:style w:type="paragraph" w:customStyle="1" w:styleId="afff3">
    <w:name w:val="标准文件_四级条标题"/>
    <w:next w:val="afffff2"/>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1"/>
    <w:semiHidden/>
    <w:qFormat/>
    <w:rPr>
      <w:rFonts w:ascii="宋体"/>
      <w:kern w:val="2"/>
      <w:sz w:val="18"/>
      <w:szCs w:val="18"/>
    </w:rPr>
  </w:style>
  <w:style w:type="paragraph" w:customStyle="1" w:styleId="affffff9">
    <w:name w:val="标准文件_条文脚注"/>
    <w:basedOn w:val="affff1"/>
    <w:qFormat/>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4">
    <w:name w:val="标准文件_五级条标题"/>
    <w:next w:val="afffff2"/>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
    <w:name w:val="标准文件_章标题"/>
    <w:next w:val="afffff2"/>
    <w:qFormat/>
    <w:pPr>
      <w:numPr>
        <w:ilvl w:val="1"/>
        <w:numId w:val="2"/>
      </w:numPr>
      <w:spacing w:beforeLines="100" w:before="100" w:afterLines="100" w:after="100"/>
      <w:jc w:val="both"/>
      <w:outlineLvl w:val="0"/>
    </w:pPr>
    <w:rPr>
      <w:rFonts w:ascii="黑体" w:eastAsia="黑体"/>
      <w:sz w:val="21"/>
    </w:rPr>
  </w:style>
  <w:style w:type="paragraph" w:customStyle="1" w:styleId="afff0">
    <w:name w:val="标准文件_一级条标题"/>
    <w:basedOn w:val="afff"/>
    <w:next w:val="afffff2"/>
    <w:qFormat/>
    <w:pPr>
      <w:numPr>
        <w:ilvl w:val="2"/>
      </w:numPr>
      <w:spacing w:beforeLines="50" w:before="50" w:afterLines="50" w:after="50"/>
      <w:outlineLvl w:val="1"/>
    </w:pPr>
  </w:style>
  <w:style w:type="paragraph" w:customStyle="1" w:styleId="affffffb">
    <w:name w:val="标准文件_一致程度"/>
    <w:basedOn w:val="afff8"/>
    <w:qFormat/>
    <w:pPr>
      <w:spacing w:line="440" w:lineRule="exact"/>
      <w:jc w:val="center"/>
    </w:pPr>
    <w:rPr>
      <w:sz w:val="28"/>
    </w:rPr>
  </w:style>
  <w:style w:type="paragraph" w:customStyle="1" w:styleId="affffffc">
    <w:name w:val="标准文件_引言标题"/>
    <w:next w:val="afff8"/>
    <w:qFormat/>
    <w:pPr>
      <w:shd w:val="clear" w:color="FFFFFF" w:fill="FFFFFF"/>
      <w:spacing w:before="540" w:after="600"/>
      <w:jc w:val="center"/>
      <w:outlineLvl w:val="0"/>
    </w:pPr>
    <w:rPr>
      <w:rFonts w:ascii="黑体" w:eastAsia="黑体"/>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9">
    <w:name w:val="标准文件_数字编号列项（二级）"/>
    <w:qFormat/>
    <w:pPr>
      <w:numPr>
        <w:ilvl w:val="1"/>
        <w:numId w:val="13"/>
      </w:numPr>
      <w:jc w:val="both"/>
    </w:pPr>
    <w:rPr>
      <w:rFonts w:ascii="宋体"/>
      <w:sz w:val="21"/>
    </w:rPr>
  </w:style>
  <w:style w:type="paragraph" w:customStyle="1" w:styleId="af1">
    <w:name w:val="标准文件_英文注："/>
    <w:basedOn w:val="afff8"/>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qFormat/>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2"/>
    <w:qFormat/>
    <w:pPr>
      <w:numPr>
        <w:numId w:val="16"/>
      </w:numPr>
      <w:tabs>
        <w:tab w:val="left" w:pos="0"/>
      </w:tabs>
      <w:spacing w:beforeLines="50" w:before="50" w:afterLines="50" w:after="50"/>
      <w:jc w:val="center"/>
    </w:pPr>
    <w:rPr>
      <w:rFonts w:ascii="黑体" w:eastAsia="黑体"/>
      <w:sz w:val="21"/>
    </w:rPr>
  </w:style>
  <w:style w:type="paragraph" w:customStyle="1" w:styleId="affffffe">
    <w:name w:val="标准文件_正文公式"/>
    <w:basedOn w:val="afff8"/>
    <w:next w:val="afffff1"/>
    <w:qFormat/>
    <w:pPr>
      <w:tabs>
        <w:tab w:val="center" w:pos="4678"/>
        <w:tab w:val="right" w:leader="middleDot" w:pos="9356"/>
      </w:tabs>
      <w:spacing w:line="240" w:lineRule="auto"/>
    </w:pPr>
    <w:rPr>
      <w:rFonts w:ascii="宋体" w:hAnsi="宋体"/>
    </w:rPr>
  </w:style>
  <w:style w:type="paragraph" w:customStyle="1" w:styleId="aff0">
    <w:name w:val="标准文件_正文图标题"/>
    <w:next w:val="afffff2"/>
    <w:qFormat/>
    <w:pPr>
      <w:numPr>
        <w:numId w:val="17"/>
      </w:numPr>
      <w:spacing w:beforeLines="50" w:before="50" w:afterLines="50" w:after="50"/>
      <w:jc w:val="center"/>
    </w:pPr>
    <w:rPr>
      <w:rFonts w:ascii="黑体" w:eastAsia="黑体"/>
      <w:sz w:val="21"/>
    </w:rPr>
  </w:style>
  <w:style w:type="paragraph" w:customStyle="1" w:styleId="afff6">
    <w:name w:val="标准文件_正文英文表标题"/>
    <w:next w:val="afffff2"/>
    <w:qFormat/>
    <w:pPr>
      <w:numPr>
        <w:numId w:val="18"/>
      </w:numPr>
      <w:jc w:val="center"/>
    </w:pPr>
    <w:rPr>
      <w:rFonts w:ascii="黑体" w:eastAsia="黑体"/>
      <w:sz w:val="21"/>
    </w:rPr>
  </w:style>
  <w:style w:type="paragraph" w:customStyle="1" w:styleId="afe">
    <w:name w:val="标准文件_正文英文图标题"/>
    <w:next w:val="afffff2"/>
    <w:qFormat/>
    <w:pPr>
      <w:numPr>
        <w:numId w:val="19"/>
      </w:numPr>
      <w:jc w:val="center"/>
    </w:pPr>
    <w:rPr>
      <w:rFonts w:ascii="黑体" w:eastAsia="黑体"/>
      <w:sz w:val="21"/>
    </w:rPr>
  </w:style>
  <w:style w:type="paragraph" w:customStyle="1" w:styleId="afa">
    <w:name w:val="标准文件_编号列项（三级）"/>
    <w:qFormat/>
    <w:pPr>
      <w:numPr>
        <w:ilvl w:val="2"/>
        <w:numId w:val="13"/>
      </w:numPr>
    </w:pPr>
    <w:rPr>
      <w:rFonts w:ascii="宋体"/>
      <w:sz w:val="21"/>
    </w:rPr>
  </w:style>
  <w:style w:type="paragraph" w:customStyle="1" w:styleId="a1">
    <w:name w:val="二级无标题条"/>
    <w:basedOn w:val="afff8"/>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b/>
      <w:w w:val="135"/>
      <w:sz w:val="36"/>
    </w:rPr>
  </w:style>
  <w:style w:type="paragraph" w:customStyle="1" w:styleId="afffffff0">
    <w:name w:val="发布日期"/>
    <w:qFormat/>
    <w:pPr>
      <w:framePr w:w="4000" w:h="473" w:hRule="exact" w:hSpace="180" w:vSpace="180" w:wrap="around" w:hAnchor="margin" w:y="13511" w:anchorLock="1"/>
    </w:pPr>
    <w:rPr>
      <w:rFonts w:eastAsia="黑体"/>
      <w:sz w:val="28"/>
    </w:rPr>
  </w:style>
  <w:style w:type="paragraph" w:customStyle="1" w:styleId="afffffff1">
    <w:name w:val="封面标准代替信息"/>
    <w:basedOn w:val="afff8"/>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3">
    <w:name w:val="封面标准文稿编辑信息"/>
    <w:qFormat/>
    <w:pPr>
      <w:spacing w:before="180" w:line="180" w:lineRule="exact"/>
      <w:jc w:val="center"/>
    </w:pPr>
    <w:rPr>
      <w:rFonts w:ascii="宋体"/>
      <w:sz w:val="21"/>
    </w:rPr>
  </w:style>
  <w:style w:type="paragraph" w:customStyle="1" w:styleId="afffffff4">
    <w:name w:val="封面标准文稿类别"/>
    <w:qFormat/>
    <w:pPr>
      <w:spacing w:before="440" w:line="400" w:lineRule="exact"/>
      <w:jc w:val="center"/>
    </w:pPr>
    <w:rPr>
      <w:rFonts w:ascii="宋体"/>
      <w:sz w:val="24"/>
    </w:rPr>
  </w:style>
  <w:style w:type="paragraph" w:customStyle="1" w:styleId="afffffff5">
    <w:name w:val="封面标准英文名称"/>
    <w:qFormat/>
    <w:pPr>
      <w:widowControl w:val="0"/>
      <w:spacing w:line="360" w:lineRule="exact"/>
      <w:jc w:val="center"/>
    </w:pPr>
    <w:rPr>
      <w:sz w:val="28"/>
    </w:rPr>
  </w:style>
  <w:style w:type="paragraph" w:customStyle="1" w:styleId="afffffff6">
    <w:name w:val="封面一致性程度标识"/>
    <w:qFormat/>
    <w:pPr>
      <w:spacing w:before="440" w:line="440" w:lineRule="exact"/>
      <w:jc w:val="center"/>
    </w:pPr>
    <w:rPr>
      <w:sz w:val="28"/>
    </w:rPr>
  </w:style>
  <w:style w:type="paragraph" w:customStyle="1" w:styleId="afffffff7">
    <w:name w:val="封面正文"/>
    <w:qFormat/>
    <w:pPr>
      <w:jc w:val="both"/>
    </w:pPr>
  </w:style>
  <w:style w:type="paragraph" w:customStyle="1" w:styleId="afffffff8">
    <w:name w:val="附录二级无标题条"/>
    <w:basedOn w:val="afff8"/>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5">
    <w:name w:val="标准文件_一级项"/>
    <w:qFormat/>
    <w:pPr>
      <w:numPr>
        <w:numId w:val="21"/>
      </w:numPr>
    </w:pPr>
    <w:rPr>
      <w:rFonts w:ascii="宋体"/>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8"/>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sz w:val="18"/>
    </w:rPr>
  </w:style>
  <w:style w:type="paragraph" w:customStyle="1" w:styleId="afff7">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sz w:val="21"/>
    </w:rPr>
  </w:style>
  <w:style w:type="paragraph" w:customStyle="1" w:styleId="210">
    <w:name w:val="目录 21"/>
    <w:basedOn w:val="afff8"/>
    <w:next w:val="afff8"/>
    <w:semiHidden/>
    <w:qFormat/>
    <w:pPr>
      <w:adjustRightInd/>
      <w:spacing w:line="240" w:lineRule="auto"/>
      <w:jc w:val="left"/>
    </w:pPr>
    <w:rPr>
      <w:bCs/>
      <w:iCs/>
    </w:rPr>
  </w:style>
  <w:style w:type="paragraph" w:customStyle="1" w:styleId="31">
    <w:name w:val="目录 31"/>
    <w:basedOn w:val="afff8"/>
    <w:next w:val="afff8"/>
    <w:semiHidden/>
    <w:qFormat/>
    <w:pPr>
      <w:spacing w:line="240" w:lineRule="auto"/>
    </w:pPr>
    <w:rPr>
      <w:rFonts w:ascii="宋体" w:hAnsi="宋体"/>
      <w:iCs/>
    </w:rPr>
  </w:style>
  <w:style w:type="paragraph" w:customStyle="1" w:styleId="41">
    <w:name w:val="目录 41"/>
    <w:basedOn w:val="afff8"/>
    <w:next w:val="afff8"/>
    <w:semiHidden/>
    <w:qFormat/>
    <w:pPr>
      <w:adjustRightInd/>
      <w:spacing w:line="240" w:lineRule="auto"/>
      <w:jc w:val="left"/>
    </w:pPr>
  </w:style>
  <w:style w:type="paragraph" w:customStyle="1" w:styleId="51">
    <w:name w:val="目录 51"/>
    <w:basedOn w:val="afff8"/>
    <w:next w:val="afff8"/>
    <w:semiHidden/>
    <w:qFormat/>
    <w:pPr>
      <w:spacing w:line="240" w:lineRule="auto"/>
    </w:pPr>
    <w:rPr>
      <w:rFonts w:ascii="宋体" w:hAnsi="宋体"/>
    </w:rPr>
  </w:style>
  <w:style w:type="paragraph" w:customStyle="1" w:styleId="61">
    <w:name w:val="目录 61"/>
    <w:basedOn w:val="afff8"/>
    <w:next w:val="afff8"/>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e">
    <w:name w:val="前言标题"/>
    <w:next w:val="afff8"/>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8"/>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8"/>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eastAsia="黑体"/>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8"/>
    <w:qFormat/>
    <w:pPr>
      <w:numPr>
        <w:ilvl w:val="6"/>
        <w:numId w:val="20"/>
      </w:numPr>
      <w:adjustRightInd/>
    </w:pPr>
    <w:rPr>
      <w:szCs w:val="24"/>
    </w:rPr>
  </w:style>
  <w:style w:type="paragraph" w:customStyle="1" w:styleId="a0">
    <w:name w:val="一级无标题条"/>
    <w:basedOn w:val="afff8"/>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f0"/>
    <w:qFormat/>
    <w:pPr>
      <w:spacing w:beforeLines="0" w:before="0" w:afterLines="0" w:after="0"/>
      <w:outlineLvl w:val="9"/>
    </w:pPr>
    <w:rPr>
      <w:rFonts w:ascii="宋体" w:eastAsia="宋体"/>
    </w:rPr>
  </w:style>
  <w:style w:type="paragraph" w:customStyle="1" w:styleId="affffffffc">
    <w:name w:val="标准文件_五级无标题"/>
    <w:basedOn w:val="afff4"/>
    <w:qFormat/>
    <w:pPr>
      <w:spacing w:beforeLines="0" w:before="0" w:afterLines="0" w:after="0"/>
      <w:outlineLvl w:val="9"/>
    </w:pPr>
    <w:rPr>
      <w:rFonts w:ascii="宋体" w:eastAsia="宋体"/>
    </w:rPr>
  </w:style>
  <w:style w:type="paragraph" w:customStyle="1" w:styleId="affffffffd">
    <w:name w:val="标准文件_三级无标题"/>
    <w:basedOn w:val="afff2"/>
    <w:qFormat/>
    <w:pPr>
      <w:spacing w:beforeLines="0" w:before="0" w:afterLines="0" w:after="0"/>
      <w:outlineLvl w:val="9"/>
    </w:pPr>
    <w:rPr>
      <w:rFonts w:ascii="宋体" w:eastAsia="宋体"/>
    </w:rPr>
  </w:style>
  <w:style w:type="paragraph" w:customStyle="1" w:styleId="affffffffe">
    <w:name w:val="标准文件_二级无标题"/>
    <w:basedOn w:val="afff1"/>
    <w:qFormat/>
    <w:pPr>
      <w:spacing w:beforeLines="0" w:before="0" w:afterLines="0" w:after="0"/>
      <w:outlineLvl w:val="9"/>
    </w:pPr>
    <w:rPr>
      <w:rFonts w:ascii="宋体" w:eastAsia="宋体"/>
    </w:rPr>
  </w:style>
  <w:style w:type="paragraph" w:customStyle="1" w:styleId="afffffffff">
    <w:name w:val="标准_四级无标题"/>
    <w:basedOn w:val="afff3"/>
    <w:next w:val="afffff2"/>
    <w:qFormat/>
    <w:rPr>
      <w:rFonts w:eastAsia="宋体"/>
    </w:rPr>
  </w:style>
  <w:style w:type="paragraph" w:customStyle="1" w:styleId="afffffffff0">
    <w:name w:val="标准文件_四级无标题"/>
    <w:basedOn w:val="afff3"/>
    <w:qFormat/>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f2"/>
    <w:qFormat/>
    <w:pPr>
      <w:numPr>
        <w:numId w:val="23"/>
      </w:numPr>
      <w:ind w:firstLineChars="0" w:firstLine="0"/>
    </w:pPr>
    <w:rPr>
      <w:rFonts w:ascii="Times New Roman" w:cs="Arial"/>
      <w:szCs w:val="28"/>
    </w:rPr>
  </w:style>
  <w:style w:type="paragraph" w:customStyle="1" w:styleId="af0">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6"/>
    <w:qFormat/>
    <w:pPr>
      <w:numPr>
        <w:numId w:val="0"/>
      </w:numPr>
      <w:spacing w:after="280"/>
      <w:outlineLvl w:val="9"/>
    </w:pPr>
  </w:style>
  <w:style w:type="paragraph" w:customStyle="1" w:styleId="afffffffff2">
    <w:name w:val="标准文件_二级项"/>
    <w:qFormat/>
    <w:rPr>
      <w:rFonts w:ascii="宋体"/>
      <w:sz w:val="21"/>
    </w:rPr>
  </w:style>
  <w:style w:type="paragraph" w:customStyle="1" w:styleId="af6">
    <w:name w:val="标准文件_三级项"/>
    <w:basedOn w:val="afff8"/>
    <w:qFormat/>
    <w:pPr>
      <w:numPr>
        <w:ilvl w:val="2"/>
        <w:numId w:val="21"/>
      </w:numPr>
      <w:spacing w:line="-300" w:lineRule="auto"/>
    </w:pPr>
    <w:rPr>
      <w:rFonts w:ascii="Times New Roman" w:hAnsi="Times New Roman"/>
    </w:rPr>
  </w:style>
  <w:style w:type="paragraph" w:customStyle="1" w:styleId="affd">
    <w:name w:val="图表脚注说明"/>
    <w:basedOn w:val="afff8"/>
    <w:next w:val="afffff2"/>
    <w:qFormat/>
    <w:pPr>
      <w:numPr>
        <w:numId w:val="25"/>
      </w:numPr>
      <w:adjustRightInd/>
      <w:spacing w:line="240" w:lineRule="auto"/>
    </w:pPr>
    <w:rPr>
      <w:rFonts w:ascii="宋体" w:hAnsi="Times New Roman"/>
      <w:sz w:val="18"/>
      <w:szCs w:val="18"/>
    </w:rPr>
  </w:style>
  <w:style w:type="paragraph" w:customStyle="1" w:styleId="af8">
    <w:name w:val="标准文件_字母编号列项（一级）"/>
    <w:qFormat/>
    <w:pPr>
      <w:numPr>
        <w:numId w:val="13"/>
      </w:numPr>
      <w:jc w:val="both"/>
    </w:pPr>
    <w:rPr>
      <w:rFonts w:ascii="宋体"/>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5">
    <w:name w:val="标准文件_注："/>
    <w:next w:val="afffff2"/>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7"/>
    <w:qFormat/>
    <w:pPr>
      <w:widowControl w:val="0"/>
      <w:numPr>
        <w:numId w:val="28"/>
      </w:numPr>
      <w:jc w:val="both"/>
    </w:pPr>
    <w:rPr>
      <w:rFonts w:ascii="宋体"/>
      <w:sz w:val="18"/>
      <w:szCs w:val="18"/>
    </w:rPr>
  </w:style>
  <w:style w:type="paragraph" w:customStyle="1" w:styleId="afffffffff7">
    <w:name w:val="标准文件_示例内容"/>
    <w:basedOn w:val="afffff2"/>
    <w:qFormat/>
    <w:pPr>
      <w:ind w:firstLine="420"/>
    </w:pPr>
    <w:rPr>
      <w:sz w:val="18"/>
    </w:rPr>
  </w:style>
  <w:style w:type="paragraph" w:customStyle="1" w:styleId="afd">
    <w:name w:val="标准文件_示例×："/>
    <w:basedOn w:val="afff8"/>
    <w:next w:val="afffffffff7"/>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9"/>
    <w:uiPriority w:val="99"/>
    <w:semiHidden/>
    <w:qFormat/>
    <w:rPr>
      <w:color w:val="808080"/>
    </w:rPr>
  </w:style>
  <w:style w:type="paragraph" w:customStyle="1" w:styleId="2">
    <w:name w:val="标准文件_二级项2"/>
    <w:basedOn w:val="afffff2"/>
    <w:qFormat/>
    <w:pPr>
      <w:numPr>
        <w:ilvl w:val="1"/>
        <w:numId w:val="21"/>
      </w:numPr>
      <w:ind w:firstLineChars="0" w:firstLine="0"/>
    </w:pPr>
  </w:style>
  <w:style w:type="paragraph" w:customStyle="1" w:styleId="21">
    <w:name w:val="标准文件_三级项2"/>
    <w:basedOn w:val="afffff2"/>
    <w:qFormat/>
    <w:pPr>
      <w:numPr>
        <w:numId w:val="30"/>
      </w:numPr>
      <w:spacing w:line="300" w:lineRule="exact"/>
      <w:ind w:firstLineChars="0"/>
    </w:pPr>
    <w:rPr>
      <w:rFonts w:ascii="Times New Roman"/>
    </w:rPr>
  </w:style>
  <w:style w:type="paragraph" w:customStyle="1" w:styleId="20">
    <w:name w:val="标准文件_一级项2"/>
    <w:basedOn w:val="afffff2"/>
    <w:qFormat/>
    <w:pPr>
      <w:numPr>
        <w:numId w:val="31"/>
      </w:numPr>
      <w:spacing w:line="300" w:lineRule="exact"/>
      <w:ind w:firstLineChars="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9"/>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8"/>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9"/>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a"/>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b"/>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ffffffffffc">
    <w:name w:val="标准文件_引言三级无标题"/>
    <w:basedOn w:val="a9"/>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6">
    <w:name w:val="发布"/>
    <w:basedOn w:val="afff9"/>
    <w:qFormat/>
    <w:rPr>
      <w:rFonts w:ascii="黑体" w:eastAsia="黑体"/>
      <w:spacing w:val="85"/>
      <w:w w:val="100"/>
      <w:position w:val="3"/>
      <w:sz w:val="28"/>
      <w:szCs w:val="28"/>
    </w:rPr>
  </w:style>
  <w:style w:type="paragraph" w:customStyle="1" w:styleId="afffffffffff7">
    <w:name w:val="段"/>
    <w:link w:val="Char7"/>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link w:val="afffffffffff7"/>
    <w:qFormat/>
    <w:rPr>
      <w:rFonts w:ascii="宋体" w:hAnsi="Times New Roman"/>
      <w:sz w:val="21"/>
    </w:rPr>
  </w:style>
  <w:style w:type="paragraph" w:customStyle="1" w:styleId="ae">
    <w:name w:val="一级条标题"/>
    <w:next w:val="afffffffffff7"/>
    <w:qFormat/>
    <w:pPr>
      <w:numPr>
        <w:ilvl w:val="1"/>
        <w:numId w:val="3"/>
      </w:numPr>
      <w:spacing w:beforeLines="50" w:before="156" w:afterLines="50" w:after="156"/>
      <w:outlineLvl w:val="2"/>
    </w:pPr>
    <w:rPr>
      <w:rFonts w:ascii="黑体" w:eastAsia="黑体"/>
      <w:sz w:val="21"/>
      <w:szCs w:val="21"/>
    </w:rPr>
  </w:style>
  <w:style w:type="paragraph" w:customStyle="1" w:styleId="af">
    <w:name w:val="二级条标题"/>
    <w:basedOn w:val="ae"/>
    <w:next w:val="afffffffffff7"/>
    <w:qFormat/>
    <w:pPr>
      <w:numPr>
        <w:ilvl w:val="2"/>
      </w:numPr>
      <w:spacing w:before="50" w:after="50"/>
      <w:ind w:left="0"/>
      <w:outlineLvl w:val="3"/>
    </w:pPr>
  </w:style>
  <w:style w:type="paragraph" w:customStyle="1" w:styleId="af4">
    <w:name w:val="三级条标题"/>
    <w:basedOn w:val="af"/>
    <w:next w:val="afffffffffff7"/>
    <w:qFormat/>
    <w:pPr>
      <w:numPr>
        <w:ilvl w:val="3"/>
        <w:numId w:val="32"/>
      </w:num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E8E8752FB4249ACBE844646231F6B23"/>
        <w:category>
          <w:name w:val="常规"/>
          <w:gallery w:val="placeholder"/>
        </w:category>
        <w:types>
          <w:type w:val="bbPlcHdr"/>
        </w:types>
        <w:behaviors>
          <w:behavior w:val="content"/>
        </w:behaviors>
        <w:guid w:val="{1A4FF820-2C1D-47D9-A07F-092DB4CBC9D7}"/>
      </w:docPartPr>
      <w:docPartBody>
        <w:p w:rsidR="00EB0E09" w:rsidRDefault="00AF01E6">
          <w:pPr>
            <w:pStyle w:val="CE8E8752FB4249ACBE844646231F6B23"/>
          </w:pPr>
          <w:r>
            <w:rPr>
              <w:rStyle w:val="a3"/>
              <w:rFonts w:hint="eastAsia"/>
            </w:rPr>
            <w:t>单击或点击此处输入文字。</w:t>
          </w:r>
        </w:p>
      </w:docPartBody>
    </w:docPart>
    <w:docPart>
      <w:docPartPr>
        <w:name w:val="37E886F566B64AFA809BD6D4EFE232D6"/>
        <w:category>
          <w:name w:val="常规"/>
          <w:gallery w:val="placeholder"/>
        </w:category>
        <w:types>
          <w:type w:val="bbPlcHdr"/>
        </w:types>
        <w:behaviors>
          <w:behavior w:val="content"/>
        </w:behaviors>
        <w:guid w:val="{5B4664E9-18EB-446B-99F7-E77EA090F917}"/>
      </w:docPartPr>
      <w:docPartBody>
        <w:p w:rsidR="00EB0E09" w:rsidRDefault="00AF01E6">
          <w:pPr>
            <w:pStyle w:val="37E886F566B64AFA809BD6D4EFE232D6"/>
          </w:pPr>
          <w:r>
            <w:rPr>
              <w:rStyle w:val="a3"/>
              <w:rFonts w:hint="eastAsia"/>
            </w:rPr>
            <w:t>选择一项。</w:t>
          </w:r>
        </w:p>
      </w:docPartBody>
    </w:docPart>
    <w:docPart>
      <w:docPartPr>
        <w:name w:val="B4311B6B8EB24194A6C3B2FC001F4AB6"/>
        <w:category>
          <w:name w:val="常规"/>
          <w:gallery w:val="placeholder"/>
        </w:category>
        <w:types>
          <w:type w:val="bbPlcHdr"/>
        </w:types>
        <w:behaviors>
          <w:behavior w:val="content"/>
        </w:behaviors>
        <w:guid w:val="{A31BA8F6-D6FE-4C51-A161-CC68F61B6CF7}"/>
      </w:docPartPr>
      <w:docPartBody>
        <w:p w:rsidR="00EB0E09" w:rsidRDefault="00AF01E6">
          <w:pPr>
            <w:pStyle w:val="B4311B6B8EB24194A6C3B2FC001F4AB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D1F"/>
    <w:rsid w:val="007B24D4"/>
    <w:rsid w:val="00AF01E6"/>
    <w:rsid w:val="00B0250C"/>
    <w:rsid w:val="00E23D1F"/>
    <w:rsid w:val="00EB0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E8E8752FB4249ACBE844646231F6B23">
    <w:name w:val="CE8E8752FB4249ACBE844646231F6B23"/>
    <w:qFormat/>
    <w:pPr>
      <w:widowControl w:val="0"/>
      <w:jc w:val="both"/>
    </w:pPr>
    <w:rPr>
      <w:kern w:val="2"/>
      <w:sz w:val="21"/>
      <w:szCs w:val="22"/>
    </w:rPr>
  </w:style>
  <w:style w:type="paragraph" w:customStyle="1" w:styleId="37E886F566B64AFA809BD6D4EFE232D6">
    <w:name w:val="37E886F566B64AFA809BD6D4EFE232D6"/>
    <w:qFormat/>
    <w:pPr>
      <w:widowControl w:val="0"/>
      <w:jc w:val="both"/>
    </w:pPr>
    <w:rPr>
      <w:kern w:val="2"/>
      <w:sz w:val="21"/>
      <w:szCs w:val="22"/>
    </w:rPr>
  </w:style>
  <w:style w:type="paragraph" w:customStyle="1" w:styleId="B4311B6B8EB24194A6C3B2FC001F4AB6">
    <w:name w:val="B4311B6B8EB24194A6C3B2FC001F4AB6"/>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E8E8752FB4249ACBE844646231F6B23">
    <w:name w:val="CE8E8752FB4249ACBE844646231F6B23"/>
    <w:qFormat/>
    <w:pPr>
      <w:widowControl w:val="0"/>
      <w:jc w:val="both"/>
    </w:pPr>
    <w:rPr>
      <w:kern w:val="2"/>
      <w:sz w:val="21"/>
      <w:szCs w:val="22"/>
    </w:rPr>
  </w:style>
  <w:style w:type="paragraph" w:customStyle="1" w:styleId="37E886F566B64AFA809BD6D4EFE232D6">
    <w:name w:val="37E886F566B64AFA809BD6D4EFE232D6"/>
    <w:qFormat/>
    <w:pPr>
      <w:widowControl w:val="0"/>
      <w:jc w:val="both"/>
    </w:pPr>
    <w:rPr>
      <w:kern w:val="2"/>
      <w:sz w:val="21"/>
      <w:szCs w:val="22"/>
    </w:rPr>
  </w:style>
  <w:style w:type="paragraph" w:customStyle="1" w:styleId="B4311B6B8EB24194A6C3B2FC001F4AB6">
    <w:name w:val="B4311B6B8EB24194A6C3B2FC001F4AB6"/>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98BF35-C061-4F3C-AB1F-3A8117C7E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31</TotalTime>
  <Pages>8</Pages>
  <Words>613</Words>
  <Characters>3499</Characters>
  <Application>Microsoft Office Word</Application>
  <DocSecurity>0</DocSecurity>
  <Lines>29</Lines>
  <Paragraphs>8</Paragraphs>
  <ScaleCrop>false</ScaleCrop>
  <Company>PCMI</Company>
  <LinksUpToDate>false</LinksUpToDate>
  <CharactersWithSpaces>4104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质管科</dc:creator>
  <dc:description>&lt;config cover="true" show_menu="true" version="1.0.0" doctype="SDKXY"&gt;_x000d_
&lt;/config&gt;</dc:description>
  <cp:lastModifiedBy>梁彪</cp:lastModifiedBy>
  <cp:revision>7</cp:revision>
  <cp:lastPrinted>2020-08-30T10:00:00Z</cp:lastPrinted>
  <dcterms:created xsi:type="dcterms:W3CDTF">2023-06-21T06:20:00Z</dcterms:created>
  <dcterms:modified xsi:type="dcterms:W3CDTF">2023-10-11T01:02:00Z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C7137F8838CC480D98E173F1CA20A2DB_13</vt:lpwstr>
  </property>
</Properties>
</file>